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276" w:lineRule="auto"/>
        <w:rPr>
          <w:rFonts w:asciiTheme="minorEastAsia" w:hAnsiTheme="minorEastAsia" w:eastAsiaTheme="minorEastAsia"/>
          <w:b/>
          <w:sz w:val="96"/>
          <w:szCs w:val="96"/>
        </w:rPr>
      </w:pPr>
      <w:r>
        <w:rPr>
          <w:rFonts w:hint="eastAsia" w:asciiTheme="minorEastAsia" w:hAnsiTheme="minorEastAsia" w:eastAsiaTheme="minorEastAsia"/>
          <w:b/>
          <w:sz w:val="96"/>
          <w:szCs w:val="96"/>
        </w:rPr>
        <w:t xml:space="preserve">苏州市吴中区政府采购竞争性磋商文件</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采购编号：JSZC-320506111-HYTZ-C2026-0001</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采购人：苏州市吴中区临湖镇人民政府</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项目名称：无人机“综合飞一次”项目</w:t>
      </w:r>
      <w:r/>
    </w:p>
    <w:p>
      <w:pPr>
        <w:ind w:firstLine="1400"/>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采购类别：服务类</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苏州昊怡通招标有限公司</w:t>
      </w:r>
      <w:r/>
    </w:p>
    <w:p>
      <w:pPr>
        <w:jc w:val="center"/>
        <w:spacing w:line="276" w:lineRule="auto"/>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二〇二六年一月</w:t>
      </w:r>
      <w:r/>
    </w:p>
    <w:p>
      <w:r/>
      <w:r/>
    </w:p>
    <w:p>
      <w:pPr>
        <w:rPr>
          <w:rFonts w:asciiTheme="minorEastAsia" w:hAnsiTheme="minorEastAsia" w:eastAsiaTheme="minorEastAsia"/>
        </w:rPr>
      </w:pPr>
      <w:r>
        <w:rPr>
          <w:rFonts w:asciiTheme="minorEastAsia" w:hAnsiTheme="minorEastAsia" w:eastAsiaTheme="minorEastAsia"/>
        </w:rPr>
        <w:br w:type="column"/>
      </w:r>
      <w:r/>
    </w:p>
    <w:p>
      <w:pPr>
        <w:pStyle w:val="869"/>
        <w:jc w:val="center"/>
        <w:spacing w:before="0" w:after="0" w:line="276" w:lineRule="auto"/>
        <w:tabs>
          <w:tab w:val="left" w:pos="3570" w:leader="none"/>
        </w:tabs>
        <w:rPr>
          <w:rFonts w:asciiTheme="minorEastAsia" w:hAnsiTheme="minorEastAsia" w:eastAsiaTheme="minorEastAsia"/>
          <w:bCs/>
          <w:sz w:val="28"/>
          <w:szCs w:val="28"/>
        </w:rPr>
      </w:pPr>
      <w:r/>
      <w:bookmarkStart w:id="0" w:name="_Toc490593763"/>
      <w:r/>
      <w:bookmarkStart w:id="1" w:name="_Toc490593779"/>
      <w:r/>
      <w:bookmarkStart w:id="2" w:name="_Toc505621555"/>
      <w:r/>
      <w:bookmarkStart w:id="3" w:name="_Toc73209033"/>
      <w:r/>
      <w:bookmarkStart w:id="4" w:name="_Toc73209104"/>
      <w:r/>
      <w:bookmarkStart w:id="5" w:name="_Toc481076362"/>
      <w:r/>
      <w:bookmarkStart w:id="6" w:name="_Toc73208472"/>
      <w:r/>
      <w:bookmarkStart w:id="7" w:name="_Toc73208689"/>
      <w:r/>
      <w:bookmarkStart w:id="8" w:name="_Toc73208782"/>
      <w:r/>
      <w:bookmarkStart w:id="9" w:name="_Toc505621536"/>
      <w:r/>
      <w:bookmarkStart w:id="10" w:name="_Toc490593765"/>
      <w:r/>
      <w:bookmarkStart w:id="11" w:name="_Toc505621538"/>
      <w:r>
        <w:rPr>
          <w:rFonts w:hint="eastAsia" w:asciiTheme="minorEastAsia" w:hAnsiTheme="minorEastAsia" w:eastAsiaTheme="minorEastAsia"/>
          <w:bCs/>
          <w:sz w:val="28"/>
          <w:szCs w:val="28"/>
        </w:rPr>
        <w:t xml:space="preserve">前附表</w:t>
      </w:r>
      <w:bookmarkEnd w:id="0"/>
      <w:r/>
      <w:bookmarkEnd w:id="1"/>
      <w:r/>
      <w:bookmarkEnd w:id="2"/>
      <w:r/>
      <w:bookmarkEnd w:id="3"/>
      <w:r/>
      <w:bookmarkEnd w:id="4"/>
      <w:r/>
      <w:bookmarkEnd w:id="5"/>
      <w:r/>
      <w:bookmarkEnd w:id="6"/>
      <w:r/>
      <w:bookmarkEnd w:id="7"/>
      <w:r/>
      <w:bookmarkEnd w:id="8"/>
      <w:r/>
      <w:bookmarkEnd w:id="9"/>
      <w:r/>
      <w:r/>
    </w:p>
    <w:tbl>
      <w:tblPr>
        <w:tblStyle w:val="87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1367"/>
        <w:gridCol w:w="7936"/>
      </w:tblGrid>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tcW w:w="686"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内容</w:t>
            </w:r>
            <w:r/>
          </w:p>
        </w:tc>
        <w:tc>
          <w:tcPr>
            <w:tcW w:w="3983" w:type="pct"/>
            <w:vAlign w:val="center"/>
            <w:textDirection w:val="lrTb"/>
            <w:noWrap w:val="false"/>
          </w:tcPr>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无人机“综合飞一次”项目</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采购预算</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bookmarkStart w:id="12" w:name="OLE_LINK1"/>
            <w:r>
              <w:rPr>
                <w:rFonts w:asciiTheme="minorEastAsia" w:hAnsiTheme="minorEastAsia" w:eastAsiaTheme="minorEastAsia"/>
                <w:sz w:val="21"/>
                <w:szCs w:val="21"/>
              </w:rPr>
              <w:t xml:space="preserve">采购预算：</w:t>
            </w:r>
            <w:r>
              <w:rPr>
                <w:rFonts w:hint="eastAsia" w:asciiTheme="minorEastAsia" w:hAnsiTheme="minorEastAsia" w:eastAsiaTheme="minorEastAsia"/>
                <w:sz w:val="21"/>
                <w:szCs w:val="21"/>
              </w:rPr>
              <w:t xml:space="preserve">人民币壹佰捌拾伍万元整（￥1</w:t>
            </w:r>
            <w:r>
              <w:rPr>
                <w:rFonts w:asciiTheme="minorEastAsia" w:hAnsiTheme="minorEastAsia" w:eastAsiaTheme="minorEastAsia"/>
                <w:sz w:val="21"/>
                <w:szCs w:val="21"/>
              </w:rPr>
              <w:t xml:space="preserve">,850,000</w:t>
            </w:r>
            <w:r>
              <w:rPr>
                <w:rFonts w:hint="eastAsia" w:asciiTheme="minorEastAsia" w:hAnsiTheme="minorEastAsia" w:eastAsiaTheme="minorEastAsia"/>
                <w:sz w:val="21"/>
                <w:szCs w:val="21"/>
              </w:rPr>
              <w:t xml:space="preserve">.00）</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最高限价：人民币壹佰捌拾肆万叁仟伍佰玖拾元整（￥1</w:t>
            </w:r>
            <w:r>
              <w:rPr>
                <w:rFonts w:asciiTheme="minorEastAsia" w:hAnsiTheme="minorEastAsia" w:eastAsiaTheme="minorEastAsia"/>
                <w:sz w:val="21"/>
                <w:szCs w:val="21"/>
              </w:rPr>
              <w:t xml:space="preserve">,843,590</w:t>
            </w:r>
            <w:r>
              <w:rPr>
                <w:rFonts w:hint="eastAsia" w:asciiTheme="minorEastAsia" w:hAnsiTheme="minorEastAsia" w:eastAsiaTheme="minorEastAsia"/>
                <w:sz w:val="21"/>
                <w:szCs w:val="21"/>
              </w:rPr>
              <w:t xml:space="preserve">.00）</w:t>
            </w:r>
            <w:bookmarkEnd w:id="12"/>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686"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现场考察</w:t>
            </w:r>
            <w:r/>
          </w:p>
        </w:tc>
        <w:tc>
          <w:tcPr>
            <w:tcW w:w="398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采购人不统一组织，供应商可自行考察。</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合格供应商的特定条件</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详见第一章竞争</w:t>
            </w:r>
            <w:r>
              <w:rPr>
                <w:rFonts w:asciiTheme="minorEastAsia" w:hAnsiTheme="minorEastAsia" w:eastAsiaTheme="minorEastAsia"/>
                <w:sz w:val="21"/>
                <w:szCs w:val="21"/>
              </w:rPr>
              <w:t xml:space="preserve">性</w:t>
            </w:r>
            <w:r>
              <w:rPr>
                <w:rFonts w:hint="eastAsia" w:asciiTheme="minorEastAsia" w:hAnsiTheme="minorEastAsia" w:eastAsiaTheme="minorEastAsia"/>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w:t>
            </w:r>
            <w:r>
              <w:rPr>
                <w:rFonts w:asciiTheme="minorEastAsia" w:hAnsiTheme="minorEastAsia" w:eastAsiaTheme="minorEastAsia"/>
                <w:sz w:val="21"/>
                <w:szCs w:val="21"/>
              </w:rPr>
              <w:t xml:space="preserve">份数</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成交供应商在本项目成交公告发布之日起五个工作日内提供盖章版纸质响应文件四份；其中，正本一份，副三份。</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c>
          <w:tcPr>
            <w:tcW w:w="686"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响应文件编制要求</w:t>
            </w:r>
            <w:r/>
          </w:p>
        </w:tc>
        <w:tc>
          <w:tcPr>
            <w:tcW w:w="398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补充</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纸质响应文件采用A4平装或胶装</w:t>
            </w:r>
            <w:r>
              <w:rPr>
                <w:rFonts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响应货币</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询问</w:t>
            </w:r>
            <w:r>
              <w:rPr>
                <w:rFonts w:asciiTheme="minorEastAsia" w:hAnsiTheme="minorEastAsia" w:eastAsiaTheme="minorEastAsia"/>
                <w:sz w:val="21"/>
                <w:szCs w:val="21"/>
              </w:rPr>
              <w:t xml:space="preserve">方式</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供应商在下载磋商文件后，对磋商文件有疑问的，请将疑问</w:t>
            </w:r>
            <w:r>
              <w:rPr>
                <w:rFonts w:asciiTheme="minorEastAsia" w:hAnsiTheme="minorEastAsia" w:eastAsiaTheme="minorEastAsia"/>
                <w:sz w:val="21"/>
                <w:szCs w:val="21"/>
              </w:rPr>
              <w:t xml:space="preserve">不限于书面形式</w:t>
            </w:r>
            <w:r>
              <w:rPr>
                <w:rFonts w:hint="eastAsia" w:asciiTheme="minorEastAsia" w:hAnsiTheme="minorEastAsia" w:eastAsiaTheme="minorEastAsia"/>
                <w:sz w:val="21"/>
                <w:szCs w:val="21"/>
              </w:rPr>
              <w:t xml:space="preserve">递交至采购代理机构，采购</w:t>
            </w:r>
            <w:r>
              <w:rPr>
                <w:rFonts w:asciiTheme="minorEastAsia" w:hAnsiTheme="minorEastAsia" w:eastAsiaTheme="minorEastAsia"/>
                <w:sz w:val="21"/>
                <w:szCs w:val="21"/>
              </w:rPr>
              <w:t xml:space="preserve">代理机构将</w:t>
            </w:r>
            <w:r>
              <w:rPr>
                <w:rFonts w:hint="eastAsia" w:asciiTheme="minorEastAsia" w:hAnsiTheme="minorEastAsia" w:eastAsiaTheme="minorEastAsia"/>
                <w:sz w:val="21"/>
                <w:szCs w:val="21"/>
              </w:rPr>
              <w:t xml:space="preserve">在3个工作日内对供应商依法提出的询问作出答复。</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质疑方式</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可以在知道或者应知其权益受到损害之日起七个工作日内，以书面形式向采购代理机构提出质疑。</w:t>
            </w:r>
            <w:r>
              <w:rPr>
                <w:rFonts w:asciiTheme="minorEastAsia" w:hAnsiTheme="minorEastAsia" w:eastAsiaTheme="minorEastAsia"/>
                <w:sz w:val="21"/>
                <w:szCs w:val="21"/>
              </w:rPr>
              <w:t xml:space="preserve">供应商在法定质疑期内</w:t>
            </w:r>
            <w:r>
              <w:rPr>
                <w:rFonts w:hint="eastAsia" w:asciiTheme="minorEastAsia" w:hAnsiTheme="minorEastAsia" w:eastAsiaTheme="minorEastAsia"/>
                <w:sz w:val="21"/>
                <w:szCs w:val="21"/>
              </w:rPr>
              <w:t xml:space="preserve">应当</w:t>
            </w:r>
            <w:r>
              <w:rPr>
                <w:rFonts w:asciiTheme="minorEastAsia" w:hAnsiTheme="minorEastAsia" w:eastAsiaTheme="minorEastAsia"/>
                <w:sz w:val="21"/>
                <w:szCs w:val="21"/>
              </w:rPr>
              <w:t xml:space="preserve">一次性提出针对同一采购程序环节的质疑</w:t>
            </w:r>
            <w:r>
              <w:rPr>
                <w:rFonts w:hint="eastAsia" w:asciiTheme="minorEastAsia" w:hAnsiTheme="minorEastAsia" w:eastAsiaTheme="minorEastAsia"/>
                <w:sz w:val="21"/>
                <w:szCs w:val="21"/>
              </w:rPr>
              <w:t xml:space="preserve">。采购代理机构应当在收到供应商的书面质疑后七个工作日内就委托授权范围内的事项作出答复，并以书面形式通知质疑供应商和与质疑事项有关的供应商，但质疑答复的内容不得涉及商业秘密。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代理服务费</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按照苏财购告【2017】42号规定的收费标准收取</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采购代理服务费收费标准如下：</w:t>
            </w:r>
            <w:r/>
          </w:p>
          <w:p>
            <w:pPr>
              <w:spacing w:line="273" w:lineRule="auto"/>
              <w:rPr>
                <w:rFonts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spacing w:line="271" w:lineRule="auto"/>
              <w:rPr>
                <w:rFonts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spacing w:line="273" w:lineRule="auto"/>
              <w:rPr>
                <w:rFonts w:ascii="宋体" w:hAnsi="宋体" w:eastAsia="宋体"/>
                <w:sz w:val="21"/>
                <w:szCs w:val="21"/>
              </w:rPr>
            </w:pPr>
            <w:r>
              <w:rPr>
                <w:rFonts w:hint="eastAsia" w:ascii="宋体" w:hAnsi="宋体" w:eastAsia="宋体"/>
                <w:sz w:val="21"/>
                <w:szCs w:val="21"/>
              </w:rPr>
              <w:t xml:space="preserve">说明：①代理服务费以采购预算金额为基数依据，按以上规定的标准和差额定率累进法进行计算收取。</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②本项目代理服务费由成交供应商支付，金额为</w:t>
            </w:r>
            <w:r>
              <w:rPr>
                <w:rFonts w:asciiTheme="minorEastAsia" w:hAnsiTheme="minorEastAsia" w:eastAsiaTheme="minorEastAsia"/>
                <w:sz w:val="21"/>
                <w:szCs w:val="21"/>
              </w:rPr>
              <w:t xml:space="preserve">24350元</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③本项目代理服务费应当包含在供应商报价内。</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注：由成交供应商领取成交通知书时向采购代理机构一次性付清。</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户</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名：苏州昊怡通招标有限公司吴中分公司</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开户银行：中国邮政储蓄银行股份有限公司苏州市分行</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账    号：9320</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0401</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0182</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5188</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92</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磋商保证金</w:t>
            </w:r>
            <w:r/>
          </w:p>
        </w:tc>
        <w:tc>
          <w:tcPr>
            <w:tcW w:w="3983" w:type="pct"/>
            <w:vAlign w:val="center"/>
            <w:textDirection w:val="lrTb"/>
            <w:noWrap w:val="false"/>
          </w:tcPr>
          <w:p>
            <w:pPr>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本项目</w:t>
            </w:r>
            <w:r>
              <w:rPr>
                <w:rFonts w:asciiTheme="minorEastAsia" w:hAnsiTheme="minorEastAsia" w:eastAsiaTheme="minorEastAsia"/>
                <w:sz w:val="21"/>
                <w:szCs w:val="21"/>
              </w:rPr>
              <w:t xml:space="preserve">取</w:t>
            </w:r>
            <w:r>
              <w:rPr>
                <w:rFonts w:hint="eastAsia" w:asciiTheme="minorEastAsia" w:hAnsiTheme="minorEastAsia" w:eastAsiaTheme="minorEastAsia"/>
                <w:sz w:val="21"/>
                <w:szCs w:val="21"/>
              </w:rPr>
              <w:t xml:space="preserve">消</w:t>
            </w:r>
            <w:r>
              <w:rPr>
                <w:rFonts w:asciiTheme="minorEastAsia" w:hAnsiTheme="minorEastAsia" w:eastAsiaTheme="minorEastAsia"/>
                <w:sz w:val="21"/>
                <w:szCs w:val="21"/>
              </w:rPr>
              <w:t xml:space="preserve">磋商保证金</w:t>
            </w:r>
            <w:r>
              <w:rPr>
                <w:rFonts w:hint="eastAsia" w:asciiTheme="minorEastAsia" w:hAnsiTheme="minorEastAsia" w:eastAsiaTheme="minorEastAsia"/>
                <w:sz w:val="21"/>
                <w:szCs w:val="21"/>
              </w:rPr>
              <w:t xml:space="preserve">的设置，供应商无需提交磋商保证金，磋商文件有关磋商保证金的规定均不适用。</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w:t>
            </w:r>
            <w:r>
              <w:rPr>
                <w:rFonts w:asciiTheme="minorEastAsia" w:hAnsiTheme="minorEastAsia" w:eastAsiaTheme="minorEastAsia"/>
                <w:sz w:val="21"/>
                <w:szCs w:val="21"/>
              </w:rPr>
              <w:t xml:space="preserve">有效期</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90 </w:t>
            </w:r>
            <w:r>
              <w:rPr>
                <w:rFonts w:asciiTheme="minorEastAsia" w:hAnsiTheme="minorEastAsia" w:eastAsiaTheme="minorEastAsia"/>
                <w:sz w:val="21"/>
                <w:szCs w:val="21"/>
              </w:rPr>
              <w:t xml:space="preserve">日历天（</w:t>
            </w:r>
            <w:r>
              <w:rPr>
                <w:rFonts w:hint="eastAsia" w:asciiTheme="minorEastAsia" w:hAnsiTheme="minorEastAsia" w:eastAsiaTheme="minorEastAsia"/>
                <w:sz w:val="21"/>
                <w:szCs w:val="21"/>
              </w:rPr>
              <w:t xml:space="preserve">从提交响应文件截止时间当日起算</w:t>
            </w:r>
            <w:r>
              <w:rPr>
                <w:rFonts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响应文件接收及磋商信息</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响应文件递交截止时间：202</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年</w:t>
            </w:r>
            <w:r>
              <w:rPr>
                <w:rFonts w:asciiTheme="minorEastAsia" w:hAnsiTheme="minorEastAsia" w:eastAsiaTheme="minorEastAsia"/>
                <w:sz w:val="21"/>
                <w:szCs w:val="21"/>
              </w:rPr>
              <w:t xml:space="preserve">1月</w:t>
            </w:r>
            <w:r>
              <w:rPr>
                <w:rFonts w:hint="eastAsia" w:asciiTheme="minorEastAsia" w:hAnsiTheme="minorEastAsia" w:eastAsiaTheme="minorEastAsia"/>
                <w:sz w:val="21"/>
                <w:szCs w:val="21"/>
                <w:lang w:val="en-US" w:eastAsia="zh-CN"/>
              </w:rPr>
              <w:t xml:space="preserve">23</w:t>
            </w:r>
            <w:r>
              <w:rPr>
                <w:rFonts w:asciiTheme="minorEastAsia" w:hAnsiTheme="minorEastAsia" w:eastAsiaTheme="minorEastAsia"/>
                <w:sz w:val="21"/>
                <w:szCs w:val="21"/>
              </w:rPr>
              <w:t xml:space="preserve">日</w:t>
            </w:r>
            <w:r>
              <w:rPr>
                <w:rFonts w:hint="eastAsia" w:asciiTheme="minorEastAsia" w:hAnsiTheme="minorEastAsia" w:eastAsiaTheme="minorEastAsia"/>
                <w:sz w:val="21"/>
                <w:szCs w:val="21"/>
                <w:lang w:val="en-US" w:eastAsia="zh-CN"/>
              </w:rPr>
              <w:t xml:space="preserve">9</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磋商时间：</w:t>
            </w:r>
            <w:bookmarkStart w:id="13" w:name="OLE_LINK35"/>
            <w:r/>
            <w:bookmarkStart w:id="14" w:name="OLE_LINK36"/>
            <w:r>
              <w:rPr>
                <w:rFonts w:hint="eastAsia" w:asciiTheme="minorEastAsia" w:hAnsiTheme="minorEastAsia" w:eastAsiaTheme="minorEastAsia"/>
                <w:sz w:val="21"/>
                <w:szCs w:val="21"/>
              </w:rPr>
              <w:t xml:space="preserve">202</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年</w:t>
            </w:r>
            <w:r>
              <w:rPr>
                <w:rFonts w:asciiTheme="minorEastAsia" w:hAnsiTheme="minorEastAsia" w:eastAsiaTheme="minorEastAsia"/>
                <w:sz w:val="21"/>
                <w:szCs w:val="21"/>
              </w:rPr>
              <w:t xml:space="preserve">1月</w:t>
            </w:r>
            <w:r>
              <w:rPr>
                <w:rFonts w:hint="eastAsia" w:asciiTheme="minorEastAsia" w:hAnsiTheme="minorEastAsia" w:eastAsiaTheme="minorEastAsia"/>
                <w:sz w:val="21"/>
                <w:szCs w:val="21"/>
                <w:lang w:val="en-US" w:eastAsia="zh-CN"/>
              </w:rPr>
              <w:t xml:space="preserve">23</w:t>
            </w:r>
            <w:r>
              <w:rPr>
                <w:rFonts w:asciiTheme="minorEastAsia" w:hAnsiTheme="minorEastAsia" w:eastAsiaTheme="minorEastAsia"/>
                <w:sz w:val="21"/>
                <w:szCs w:val="21"/>
              </w:rPr>
              <w:t xml:space="preserve">日</w:t>
            </w:r>
            <w:bookmarkEnd w:id="13"/>
            <w:r/>
            <w:bookmarkEnd w:id="14"/>
            <w:r>
              <w:rPr>
                <w:rFonts w:hint="eastAsia" w:asciiTheme="minorEastAsia" w:hAnsiTheme="minorEastAsia" w:eastAsiaTheme="minorEastAsia"/>
                <w:sz w:val="21"/>
                <w:szCs w:val="21"/>
                <w:lang w:val="en-US" w:eastAsia="zh-CN"/>
              </w:rPr>
              <w:t xml:space="preserve">9</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磋商地点：“苏采云”系统（网址：</w:t>
            </w:r>
            <w:r>
              <w:rPr>
                <w:rFonts w:asciiTheme="minorEastAsia" w:hAnsiTheme="minorEastAsia" w:eastAsiaTheme="minorEastAsia"/>
                <w:sz w:val="21"/>
                <w:szCs w:val="21"/>
              </w:rPr>
              <w:t xml:space="preserve">http://jszfcg.jsczt.cn/</w:t>
            </w:r>
            <w:r>
              <w:rPr>
                <w:rFonts w:hint="eastAsia" w:asciiTheme="minorEastAsia" w:hAnsiTheme="minorEastAsia" w:eastAsiaTheme="minorEastAsia"/>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成交原则</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本次磋商采用综合评分法，即在</w:t>
            </w:r>
            <w:r>
              <w:rPr>
                <w:rFonts w:asciiTheme="minorEastAsia" w:hAnsiTheme="minorEastAsia" w:eastAsiaTheme="minorEastAsia"/>
                <w:sz w:val="21"/>
                <w:szCs w:val="21"/>
              </w:rPr>
              <w:t xml:space="preserve">响应文件满足</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15</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评审办法及评分标准</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详见磋商文件第五章评审办法及评分标准</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16</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bookmarkStart w:id="15" w:name="OLE_LINK25"/>
            <w:r/>
            <w:bookmarkStart w:id="16" w:name="OLE_LINK26"/>
            <w:r/>
            <w:bookmarkStart w:id="17" w:name="OLE_LINK29"/>
            <w:r>
              <w:rPr>
                <w:rFonts w:hint="eastAsia" w:asciiTheme="minorEastAsia" w:hAnsiTheme="minorEastAsia" w:eastAsiaTheme="minorEastAsia"/>
                <w:sz w:val="21"/>
                <w:szCs w:val="21"/>
              </w:rPr>
              <w:t xml:space="preserve">履约保证金</w:t>
            </w:r>
            <w:bookmarkEnd w:id="15"/>
            <w:r/>
            <w:bookmarkEnd w:id="16"/>
            <w:r/>
            <w:bookmarkEnd w:id="17"/>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本项目取消履约保证金的设置，供应商无需提交履约保证金，磋商文件有关履约保证金的规定均不适用。</w:t>
            </w:r>
            <w:r/>
          </w:p>
        </w:tc>
      </w:tr>
      <w:tr>
        <w:trPr>
          <w:jc w:val="center"/>
          <w:trHeight w:val="20"/>
        </w:trPr>
        <w:tc>
          <w:tcPr>
            <w:tcW w:w="33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17</w:t>
            </w:r>
            <w:r/>
          </w:p>
        </w:tc>
        <w:tc>
          <w:tcPr>
            <w:tcW w:w="6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签订合同</w:t>
            </w:r>
            <w:r/>
          </w:p>
        </w:tc>
        <w:tc>
          <w:tcPr>
            <w:tcW w:w="3983"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成交通知书发出之日起</w:t>
            </w:r>
            <w:r>
              <w:rPr>
                <w:rFonts w:hint="eastAsia" w:asciiTheme="minorEastAsia" w:hAnsiTheme="minorEastAsia" w:eastAsiaTheme="minorEastAsia"/>
                <w:sz w:val="21"/>
                <w:szCs w:val="21"/>
                <w:u w:val="single"/>
              </w:rPr>
              <w:t xml:space="preserve"> 30 </w:t>
            </w:r>
            <w:r>
              <w:rPr>
                <w:rFonts w:hint="eastAsia" w:asciiTheme="minorEastAsia" w:hAnsiTheme="minorEastAsia" w:eastAsiaTheme="minorEastAsia"/>
                <w:sz w:val="21"/>
                <w:szCs w:val="21"/>
              </w:rPr>
              <w:t xml:space="preserve">日内</w:t>
            </w:r>
            <w:r/>
          </w:p>
        </w:tc>
      </w:tr>
    </w:tbl>
    <w:p>
      <w:r>
        <w:br w:type="column"/>
      </w:r>
      <w:bookmarkEnd w:id="10"/>
      <w:r/>
      <w:bookmarkEnd w:id="11"/>
      <w:r/>
      <w:r/>
    </w:p>
    <w:p>
      <w:pPr>
        <w:pStyle w:val="869"/>
        <w:jc w:val="center"/>
        <w:spacing w:before="0" w:after="0" w:line="276" w:lineRule="auto"/>
        <w:tabs>
          <w:tab w:val="left" w:pos="3570" w:leader="none"/>
        </w:tabs>
        <w:rPr>
          <w:rFonts w:asciiTheme="minorEastAsia" w:hAnsiTheme="minorEastAsia" w:eastAsiaTheme="minorEastAsia"/>
          <w:bCs/>
          <w:sz w:val="28"/>
          <w:szCs w:val="28"/>
        </w:rPr>
      </w:pPr>
      <w:r/>
      <w:bookmarkStart w:id="18" w:name="_Toc481076363"/>
      <w:r/>
      <w:bookmarkStart w:id="19" w:name="_Toc490593780"/>
      <w:r/>
      <w:bookmarkStart w:id="20" w:name="_Toc73209034"/>
      <w:r/>
      <w:bookmarkStart w:id="21" w:name="_Toc73209105"/>
      <w:r/>
      <w:bookmarkStart w:id="22" w:name="_Toc490593764"/>
      <w:r/>
      <w:bookmarkStart w:id="23" w:name="_Toc505621556"/>
      <w:r/>
      <w:bookmarkStart w:id="24" w:name="_Toc505621537"/>
      <w:r/>
      <w:bookmarkStart w:id="25" w:name="_Toc505621539"/>
      <w:r/>
      <w:bookmarkStart w:id="26" w:name="_Toc490593766"/>
      <w:r>
        <w:rPr>
          <w:rFonts w:hint="eastAsia" w:asciiTheme="minorEastAsia" w:hAnsiTheme="minorEastAsia" w:eastAsiaTheme="minorEastAsia"/>
          <w:bCs/>
          <w:sz w:val="28"/>
          <w:szCs w:val="28"/>
        </w:rPr>
        <w:t xml:space="preserve">目录</w:t>
      </w:r>
      <w:bookmarkEnd w:id="18"/>
      <w:r/>
      <w:bookmarkEnd w:id="19"/>
      <w:r/>
      <w:bookmarkEnd w:id="20"/>
      <w:r/>
      <w:bookmarkEnd w:id="21"/>
      <w:r/>
      <w:bookmarkEnd w:id="22"/>
      <w:r/>
      <w:bookmarkEnd w:id="23"/>
      <w:r/>
      <w:bookmarkEnd w:id="24"/>
      <w:r>
        <w:rPr>
          <w:rFonts w:asciiTheme="minorEastAsia" w:hAnsiTheme="minorEastAsia" w:eastAsiaTheme="minorEastAsia"/>
          <w:bCs/>
          <w:sz w:val="28"/>
          <w:szCs w:val="28"/>
        </w:rPr>
        <w:fldChar w:fldCharType="begin"/>
      </w:r>
      <w:r>
        <w:rPr>
          <w:rFonts w:asciiTheme="minorEastAsia" w:hAnsiTheme="minorEastAsia" w:eastAsiaTheme="minorEastAsia"/>
          <w:bCs/>
          <w:sz w:val="28"/>
          <w:szCs w:val="28"/>
        </w:rPr>
        <w:instrText xml:space="preserve"> TOC \o "1-1" \h \z \u </w:instrText>
      </w:r>
      <w:r>
        <w:rPr>
          <w:rFonts w:asciiTheme="minorEastAsia" w:hAnsiTheme="minorEastAsia" w:eastAsiaTheme="minorEastAsia"/>
          <w:bCs/>
          <w:sz w:val="28"/>
          <w:szCs w:val="28"/>
        </w:rPr>
        <w:fldChar w:fldCharType="separate"/>
      </w:r>
      <w:r/>
    </w:p>
    <w:p>
      <w:pPr>
        <w:pStyle w:val="906"/>
        <w:spacing w:line="480" w:lineRule="auto"/>
        <w:tabs>
          <w:tab w:val="right" w:pos="9736" w:leader="dot"/>
        </w:tabs>
        <w:rPr>
          <w:rFonts w:asciiTheme="minorEastAsia" w:hAnsiTheme="minorEastAsia" w:eastAsiaTheme="minorEastAsia"/>
          <w:szCs w:val="24"/>
        </w:rPr>
      </w:pPr>
      <w:r>
        <w:fldChar w:fldCharType="begin"/>
      </w:r>
      <w:r>
        <w:instrText xml:space="preserve"> HYPERLINK \l "_Toc73209106" </w:instrText>
      </w:r>
      <w:r>
        <w:fldChar w:fldCharType="separate"/>
      </w:r>
      <w:r>
        <w:rPr>
          <w:rStyle w:val="935"/>
          <w:rFonts w:hint="eastAsia" w:asciiTheme="minorEastAsia" w:hAnsiTheme="minorEastAsia" w:eastAsiaTheme="minorEastAsia"/>
          <w:bCs/>
          <w:szCs w:val="24"/>
        </w:rPr>
        <w:t xml:space="preserve">第一章</w:t>
      </w:r>
      <w:r>
        <w:rPr>
          <w:rStyle w:val="935"/>
          <w:rFonts w:asciiTheme="minorEastAsia" w:hAnsiTheme="minorEastAsia" w:eastAsiaTheme="minorEastAsia"/>
          <w:bCs/>
          <w:szCs w:val="24"/>
        </w:rPr>
        <w:t xml:space="preserve"> </w:t>
      </w:r>
      <w:r>
        <w:rPr>
          <w:rStyle w:val="935"/>
          <w:rFonts w:hint="eastAsia" w:asciiTheme="minorEastAsia" w:hAnsiTheme="minorEastAsia" w:eastAsiaTheme="minorEastAsia"/>
          <w:bCs/>
          <w:szCs w:val="24"/>
        </w:rPr>
        <w:t xml:space="preserve">竞争性磋商公告</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_Toc73209106 \h </w:instrText>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5</w:t>
      </w:r>
      <w:r>
        <w:rPr>
          <w:rFonts w:asciiTheme="minorEastAsia" w:hAnsiTheme="minorEastAsia" w:eastAsiaTheme="minorEastAsia"/>
          <w:szCs w:val="24"/>
        </w:rPr>
        <w:fldChar w:fldCharType="end"/>
      </w:r>
      <w:r>
        <w:rPr>
          <w:rFonts w:asciiTheme="minorEastAsia" w:hAnsiTheme="minorEastAsia" w:eastAsiaTheme="minorEastAsia"/>
          <w:szCs w:val="24"/>
        </w:rPr>
        <w:fldChar w:fldCharType="end"/>
      </w:r>
      <w:r/>
    </w:p>
    <w:p>
      <w:pPr>
        <w:pStyle w:val="906"/>
        <w:spacing w:line="480" w:lineRule="auto"/>
        <w:tabs>
          <w:tab w:val="right" w:pos="9736" w:leader="dot"/>
        </w:tabs>
        <w:rPr>
          <w:rFonts w:asciiTheme="minorEastAsia" w:hAnsiTheme="minorEastAsia" w:eastAsiaTheme="minorEastAsia"/>
          <w:szCs w:val="24"/>
        </w:rPr>
      </w:pPr>
      <w:r>
        <w:fldChar w:fldCharType="begin"/>
      </w:r>
      <w:r>
        <w:instrText xml:space="preserve"> HYPERLINK \l "_Toc73209107" </w:instrText>
      </w:r>
      <w:r>
        <w:fldChar w:fldCharType="separate"/>
      </w:r>
      <w:r>
        <w:rPr>
          <w:rStyle w:val="935"/>
          <w:rFonts w:hint="eastAsia" w:asciiTheme="minorEastAsia" w:hAnsiTheme="minorEastAsia" w:eastAsiaTheme="minorEastAsia"/>
          <w:bCs/>
          <w:szCs w:val="24"/>
        </w:rPr>
        <w:t xml:space="preserve">第二章</w:t>
      </w:r>
      <w:r>
        <w:rPr>
          <w:rStyle w:val="935"/>
          <w:rFonts w:asciiTheme="minorEastAsia" w:hAnsiTheme="minorEastAsia" w:eastAsiaTheme="minorEastAsia"/>
          <w:bCs/>
          <w:szCs w:val="24"/>
        </w:rPr>
        <w:t xml:space="preserve"> </w:t>
      </w:r>
      <w:r>
        <w:rPr>
          <w:rStyle w:val="935"/>
          <w:rFonts w:hint="eastAsia" w:asciiTheme="minorEastAsia" w:hAnsiTheme="minorEastAsia" w:eastAsiaTheme="minorEastAsia"/>
          <w:bCs/>
          <w:szCs w:val="24"/>
        </w:rPr>
        <w:t xml:space="preserve">响应文件格式</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_Toc73209107 \h </w:instrText>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9</w:t>
      </w:r>
      <w:r>
        <w:rPr>
          <w:rFonts w:asciiTheme="minorEastAsia" w:hAnsiTheme="minorEastAsia" w:eastAsiaTheme="minorEastAsia"/>
          <w:szCs w:val="24"/>
        </w:rPr>
        <w:fldChar w:fldCharType="end"/>
      </w:r>
      <w:r>
        <w:rPr>
          <w:rFonts w:asciiTheme="minorEastAsia" w:hAnsiTheme="minorEastAsia" w:eastAsiaTheme="minorEastAsia"/>
          <w:szCs w:val="24"/>
        </w:rPr>
        <w:fldChar w:fldCharType="end"/>
      </w:r>
      <w:r/>
    </w:p>
    <w:p>
      <w:pPr>
        <w:pStyle w:val="906"/>
        <w:spacing w:line="480" w:lineRule="auto"/>
        <w:tabs>
          <w:tab w:val="right" w:pos="9736" w:leader="dot"/>
        </w:tabs>
        <w:rPr>
          <w:rFonts w:asciiTheme="minorEastAsia" w:hAnsiTheme="minorEastAsia" w:eastAsiaTheme="minorEastAsia"/>
          <w:szCs w:val="24"/>
        </w:rPr>
      </w:pPr>
      <w:r>
        <w:fldChar w:fldCharType="begin"/>
      </w:r>
      <w:r>
        <w:instrText xml:space="preserve"> HYPERLINK \l "_Toc73209108" </w:instrText>
      </w:r>
      <w:r>
        <w:fldChar w:fldCharType="separate"/>
      </w:r>
      <w:r>
        <w:rPr>
          <w:rStyle w:val="935"/>
          <w:rFonts w:hint="eastAsia" w:asciiTheme="minorEastAsia" w:hAnsiTheme="minorEastAsia" w:eastAsiaTheme="minorEastAsia"/>
          <w:bCs/>
          <w:szCs w:val="24"/>
        </w:rPr>
        <w:t xml:space="preserve">第三章</w:t>
      </w:r>
      <w:r>
        <w:rPr>
          <w:rStyle w:val="935"/>
          <w:rFonts w:asciiTheme="minorEastAsia" w:hAnsiTheme="minorEastAsia" w:eastAsiaTheme="minorEastAsia"/>
          <w:bCs/>
          <w:szCs w:val="24"/>
        </w:rPr>
        <w:t xml:space="preserve"> </w:t>
      </w:r>
      <w:r>
        <w:rPr>
          <w:rStyle w:val="935"/>
          <w:rFonts w:hint="eastAsia" w:asciiTheme="minorEastAsia" w:hAnsiTheme="minorEastAsia" w:eastAsiaTheme="minorEastAsia"/>
          <w:bCs/>
          <w:szCs w:val="24"/>
        </w:rPr>
        <w:t xml:space="preserve">采购内容</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_Toc73209108 \h </w:instrText>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28</w:t>
      </w:r>
      <w:r>
        <w:rPr>
          <w:rFonts w:asciiTheme="minorEastAsia" w:hAnsiTheme="minorEastAsia" w:eastAsiaTheme="minorEastAsia"/>
          <w:szCs w:val="24"/>
        </w:rPr>
        <w:fldChar w:fldCharType="end"/>
      </w:r>
      <w:r>
        <w:rPr>
          <w:rFonts w:asciiTheme="minorEastAsia" w:hAnsiTheme="minorEastAsia" w:eastAsiaTheme="minorEastAsia"/>
          <w:szCs w:val="24"/>
        </w:rPr>
        <w:fldChar w:fldCharType="end"/>
      </w:r>
      <w:r/>
    </w:p>
    <w:p>
      <w:pPr>
        <w:pStyle w:val="906"/>
        <w:spacing w:line="480" w:lineRule="auto"/>
        <w:tabs>
          <w:tab w:val="right" w:pos="9736" w:leader="dot"/>
        </w:tabs>
        <w:rPr>
          <w:rFonts w:asciiTheme="minorEastAsia" w:hAnsiTheme="minorEastAsia" w:eastAsiaTheme="minorEastAsia"/>
          <w:szCs w:val="24"/>
        </w:rPr>
      </w:pPr>
      <w:r>
        <w:fldChar w:fldCharType="begin"/>
      </w:r>
      <w:r>
        <w:instrText xml:space="preserve"> HYPERLINK \l "_Toc73209109" </w:instrText>
      </w:r>
      <w:r>
        <w:fldChar w:fldCharType="separate"/>
      </w:r>
      <w:r>
        <w:rPr>
          <w:rStyle w:val="935"/>
          <w:rFonts w:hint="eastAsia" w:asciiTheme="minorEastAsia" w:hAnsiTheme="minorEastAsia" w:eastAsiaTheme="minorEastAsia"/>
          <w:bCs/>
          <w:szCs w:val="24"/>
        </w:rPr>
        <w:t xml:space="preserve">第四章</w:t>
      </w:r>
      <w:r>
        <w:rPr>
          <w:rStyle w:val="935"/>
          <w:rFonts w:asciiTheme="minorEastAsia" w:hAnsiTheme="minorEastAsia" w:eastAsiaTheme="minorEastAsia"/>
          <w:bCs/>
          <w:szCs w:val="24"/>
        </w:rPr>
        <w:t xml:space="preserve"> </w:t>
      </w:r>
      <w:r>
        <w:rPr>
          <w:rStyle w:val="935"/>
          <w:rFonts w:hint="eastAsia" w:asciiTheme="minorEastAsia" w:hAnsiTheme="minorEastAsia" w:eastAsiaTheme="minorEastAsia"/>
          <w:bCs/>
          <w:szCs w:val="24"/>
        </w:rPr>
        <w:t xml:space="preserve">合同主要条款</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_Toc73209109 \h </w:instrText>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46</w:t>
      </w:r>
      <w:r>
        <w:rPr>
          <w:rFonts w:asciiTheme="minorEastAsia" w:hAnsiTheme="minorEastAsia" w:eastAsiaTheme="minorEastAsia"/>
          <w:szCs w:val="24"/>
        </w:rPr>
        <w:fldChar w:fldCharType="end"/>
      </w:r>
      <w:r>
        <w:rPr>
          <w:rFonts w:asciiTheme="minorEastAsia" w:hAnsiTheme="minorEastAsia" w:eastAsiaTheme="minorEastAsia"/>
          <w:szCs w:val="24"/>
        </w:rPr>
        <w:fldChar w:fldCharType="end"/>
      </w:r>
      <w:r/>
    </w:p>
    <w:p>
      <w:pPr>
        <w:pStyle w:val="906"/>
        <w:spacing w:line="480" w:lineRule="auto"/>
        <w:tabs>
          <w:tab w:val="right" w:pos="9736" w:leader="dot"/>
        </w:tabs>
        <w:rPr>
          <w:rFonts w:asciiTheme="minorEastAsia" w:hAnsiTheme="minorEastAsia" w:eastAsiaTheme="minorEastAsia"/>
          <w:szCs w:val="24"/>
        </w:rPr>
      </w:pPr>
      <w:r>
        <w:fldChar w:fldCharType="begin"/>
      </w:r>
      <w:r>
        <w:instrText xml:space="preserve"> HYPERLINK \l "_Toc73209110" </w:instrText>
      </w:r>
      <w:r>
        <w:fldChar w:fldCharType="separate"/>
      </w:r>
      <w:r>
        <w:rPr>
          <w:rStyle w:val="935"/>
          <w:rFonts w:hint="eastAsia" w:asciiTheme="minorEastAsia" w:hAnsiTheme="minorEastAsia" w:eastAsiaTheme="minorEastAsia"/>
          <w:bCs/>
          <w:szCs w:val="24"/>
        </w:rPr>
        <w:t xml:space="preserve">第五章</w:t>
      </w:r>
      <w:r>
        <w:rPr>
          <w:rStyle w:val="935"/>
          <w:rFonts w:asciiTheme="minorEastAsia" w:hAnsiTheme="minorEastAsia" w:eastAsiaTheme="minorEastAsia"/>
          <w:bCs/>
          <w:szCs w:val="24"/>
        </w:rPr>
        <w:t xml:space="preserve"> </w:t>
      </w:r>
      <w:r>
        <w:rPr>
          <w:rStyle w:val="935"/>
          <w:rFonts w:hint="eastAsia" w:asciiTheme="minorEastAsia" w:hAnsiTheme="minorEastAsia" w:eastAsiaTheme="minorEastAsia"/>
          <w:bCs/>
          <w:szCs w:val="24"/>
        </w:rPr>
        <w:t xml:space="preserve">评审办法及评分标准</w:t>
      </w:r>
      <w:r>
        <w:rPr>
          <w:rFonts w:asciiTheme="minorEastAsia" w:hAnsiTheme="minorEastAsia" w:eastAsiaTheme="minorEastAsia"/>
          <w:szCs w:val="24"/>
        </w:rPr>
        <w:tab/>
      </w:r>
      <w:r>
        <w:rPr>
          <w:rFonts w:asciiTheme="minorEastAsia" w:hAnsiTheme="minorEastAsia" w:eastAsiaTheme="minorEastAsia"/>
          <w:szCs w:val="24"/>
        </w:rPr>
        <w:fldChar w:fldCharType="begin"/>
      </w:r>
      <w:r>
        <w:rPr>
          <w:rFonts w:asciiTheme="minorEastAsia" w:hAnsiTheme="minorEastAsia" w:eastAsiaTheme="minorEastAsia"/>
          <w:szCs w:val="24"/>
        </w:rPr>
        <w:instrText xml:space="preserve"> PAGEREF _Toc73209110 \h </w:instrText>
      </w:r>
      <w:r>
        <w:rPr>
          <w:rFonts w:asciiTheme="minorEastAsia" w:hAnsiTheme="minorEastAsia" w:eastAsiaTheme="minorEastAsia"/>
          <w:szCs w:val="24"/>
        </w:rPr>
        <w:fldChar w:fldCharType="separate"/>
      </w:r>
      <w:r>
        <w:rPr>
          <w:rFonts w:asciiTheme="minorEastAsia" w:hAnsiTheme="minorEastAsia" w:eastAsiaTheme="minorEastAsia"/>
          <w:szCs w:val="24"/>
        </w:rPr>
        <w:t xml:space="preserve">51</w:t>
      </w:r>
      <w:r>
        <w:rPr>
          <w:rFonts w:asciiTheme="minorEastAsia" w:hAnsiTheme="minorEastAsia" w:eastAsiaTheme="minorEastAsia"/>
          <w:szCs w:val="24"/>
        </w:rPr>
        <w:fldChar w:fldCharType="end"/>
      </w:r>
      <w:r>
        <w:rPr>
          <w:rFonts w:asciiTheme="minorEastAsia" w:hAnsiTheme="minorEastAsia" w:eastAsiaTheme="minorEastAsia"/>
          <w:szCs w:val="24"/>
        </w:rPr>
        <w:fldChar w:fldCharType="end"/>
      </w:r>
      <w:r/>
    </w:p>
    <w:p>
      <w:pPr>
        <w:rPr>
          <w:rFonts w:asciiTheme="minorEastAsia" w:hAnsiTheme="minorEastAsia" w:eastAsiaTheme="minorEastAsia"/>
        </w:rPr>
      </w:pPr>
      <w:r>
        <w:rPr>
          <w:rFonts w:asciiTheme="minorEastAsia" w:hAnsiTheme="minorEastAsia" w:eastAsiaTheme="minorEastAsia"/>
        </w:rPr>
      </w:r>
      <w:r/>
    </w:p>
    <w:p>
      <w:r>
        <w:rPr>
          <w:b/>
        </w:rPr>
        <w:fldChar w:fldCharType="end"/>
      </w:r>
      <w:r>
        <w:br w:type="column"/>
      </w:r>
      <w:r/>
    </w:p>
    <w:p>
      <w:pPr>
        <w:pStyle w:val="869"/>
        <w:jc w:val="center"/>
        <w:spacing w:before="0" w:after="0" w:line="276" w:lineRule="auto"/>
        <w:tabs>
          <w:tab w:val="left" w:pos="3570" w:leader="none"/>
        </w:tabs>
        <w:rPr>
          <w:rFonts w:asciiTheme="minorEastAsia" w:hAnsiTheme="minorEastAsia" w:eastAsiaTheme="minorEastAsia"/>
          <w:bCs/>
          <w:sz w:val="28"/>
          <w:szCs w:val="28"/>
        </w:rPr>
      </w:pPr>
      <w:r/>
      <w:bookmarkStart w:id="27" w:name="_Toc73208474"/>
      <w:r/>
      <w:bookmarkStart w:id="28" w:name="_Toc73209106"/>
      <w:r/>
      <w:bookmarkStart w:id="29" w:name="_Toc73208784"/>
      <w:r/>
      <w:bookmarkStart w:id="30" w:name="_Toc73209035"/>
      <w:r/>
      <w:bookmarkStart w:id="31" w:name="_Toc73208691"/>
      <w:r>
        <w:rPr>
          <w:rFonts w:hint="eastAsia" w:asciiTheme="minorEastAsia" w:hAnsiTheme="minorEastAsia" w:eastAsiaTheme="minorEastAsia"/>
          <w:bCs/>
          <w:sz w:val="28"/>
          <w:szCs w:val="28"/>
        </w:rPr>
        <w:t xml:space="preserve">第一章 竞争性磋商公告</w:t>
      </w:r>
      <w:bookmarkEnd w:id="27"/>
      <w:r/>
      <w:bookmarkEnd w:id="28"/>
      <w:r/>
      <w:bookmarkEnd w:id="29"/>
      <w:r/>
      <w:bookmarkEnd w:id="30"/>
      <w:r/>
      <w:bookmarkEnd w:id="31"/>
      <w:r/>
      <w:r/>
    </w:p>
    <w:p>
      <w:pPr>
        <w:jc w:val="cente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苏州市吴中区临湖镇人民政府关于无人机“综合飞一次”项目的竞争</w:t>
      </w:r>
      <w:r>
        <w:rPr>
          <w:rFonts w:asciiTheme="minorEastAsia" w:hAnsiTheme="minorEastAsia" w:eastAsiaTheme="minorEastAsia"/>
          <w:b/>
          <w:sz w:val="21"/>
          <w:szCs w:val="21"/>
        </w:rPr>
        <w:t xml:space="preserve">性磋商公告</w:t>
      </w:r>
      <w:bookmarkStart w:id="32" w:name="_Toc28359089"/>
      <w:r/>
      <w:bookmarkStart w:id="33" w:name="_Toc28359012"/>
      <w:r/>
      <w:bookmarkStart w:id="34" w:name="_Toc35393629"/>
      <w:r/>
      <w:bookmarkStart w:id="35" w:name="_Toc35393798"/>
      <w:r/>
      <w:bookmarkStart w:id="36" w:name="_Toc43712646"/>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tc>
          <w:tcPr>
            <w:tcW w:w="9736" w:type="dxa"/>
            <w:textDirection w:val="lrTb"/>
            <w:noWrap w:val="false"/>
          </w:tcPr>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项目概况</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u w:val="single"/>
              </w:rPr>
              <w:t xml:space="preserve">无人机“综合飞一次”项目</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u w:val="single"/>
              </w:rPr>
              <w:t xml:space="preserve">JSZC-320506111-HYTZ-C2026-0001</w:t>
            </w:r>
            <w:r>
              <w:rPr>
                <w:rFonts w:hint="eastAsia" w:asciiTheme="minorEastAsia" w:hAnsiTheme="minorEastAsia" w:eastAsiaTheme="minorEastAsia"/>
                <w:sz w:val="21"/>
                <w:szCs w:val="21"/>
              </w:rPr>
              <w:t xml:space="preserve">采购项目的潜在供应商应在“苏采云”系统（网址：http://jszfcg.jsczt.cn/）获取磋商文件，并于202</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en-US" w:eastAsia="zh-CN"/>
              </w:rPr>
              <w:t xml:space="preserve">23</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lang w:val="en-US" w:eastAsia="zh-CN"/>
              </w:rPr>
              <w:t xml:space="preserve">9</w:t>
            </w:r>
            <w:r>
              <w:rPr>
                <w:rFonts w:hint="eastAsia" w:asciiTheme="minorEastAsia" w:hAnsiTheme="minorEastAsia" w:eastAsiaTheme="minorEastAsia"/>
                <w:sz w:val="21"/>
                <w:szCs w:val="21"/>
              </w:rPr>
              <w:t xml:space="preserve">:30（北京时间）前提交响应文件。</w:t>
            </w:r>
            <w:r/>
          </w:p>
        </w:tc>
      </w:tr>
    </w:tbl>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一、项目基本情况</w:t>
      </w:r>
      <w:bookmarkEnd w:id="32"/>
      <w:r/>
      <w:bookmarkEnd w:id="33"/>
      <w:r/>
      <w:bookmarkEnd w:id="34"/>
      <w:r/>
      <w:bookmarkEnd w:id="35"/>
      <w:r/>
      <w:bookmarkEnd w:id="36"/>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项目编号：JSZC-320506111-HYTZ-C2026-0001</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项目名称：无人机“综合飞一次”项目</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采购方式：竞争性磋商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预算金额：</w:t>
      </w:r>
      <w:bookmarkStart w:id="37" w:name="OLE_LINK39"/>
      <w:r/>
      <w:bookmarkStart w:id="38" w:name="OLE_LINK40"/>
      <w:r/>
      <w:bookmarkStart w:id="39" w:name="OLE_LINK37"/>
      <w:r/>
      <w:bookmarkStart w:id="40" w:name="OLE_LINK38"/>
      <w:r>
        <w:rPr>
          <w:rFonts w:asciiTheme="minorEastAsia" w:hAnsiTheme="minorEastAsia" w:eastAsiaTheme="minorEastAsia"/>
          <w:sz w:val="21"/>
          <w:szCs w:val="21"/>
        </w:rPr>
        <w:t xml:space="preserve">185.</w:t>
      </w:r>
      <w:bookmarkEnd w:id="37"/>
      <w:r/>
      <w:bookmarkEnd w:id="38"/>
      <w:r>
        <w:rPr>
          <w:rFonts w:asciiTheme="minorEastAsia" w:hAnsiTheme="minorEastAsia" w:eastAsiaTheme="minorEastAsia"/>
          <w:sz w:val="21"/>
          <w:szCs w:val="21"/>
        </w:rPr>
        <w:t xml:space="preserve">0000</w:t>
      </w:r>
      <w:r>
        <w:rPr>
          <w:rFonts w:hint="eastAsia" w:asciiTheme="minorEastAsia" w:hAnsiTheme="minorEastAsia" w:eastAsiaTheme="minorEastAsia"/>
          <w:sz w:val="21"/>
          <w:szCs w:val="21"/>
        </w:rPr>
        <w:t xml:space="preserve">万元</w:t>
      </w:r>
      <w:bookmarkEnd w:id="39"/>
      <w:r/>
      <w:bookmarkEnd w:id="40"/>
      <w:r/>
      <w:r/>
    </w:p>
    <w:p>
      <w:pPr>
        <w:ind w:firstLine="420"/>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最高限价：</w:t>
      </w:r>
      <w:r>
        <w:rPr>
          <w:rFonts w:asciiTheme="minorEastAsia" w:hAnsiTheme="minorEastAsia" w:eastAsiaTheme="minorEastAsia"/>
          <w:sz w:val="21"/>
          <w:szCs w:val="21"/>
        </w:rPr>
        <w:t xml:space="preserve">184.3590</w:t>
      </w:r>
      <w:r>
        <w:rPr>
          <w:rFonts w:hint="eastAsia" w:asciiTheme="minorEastAsia" w:hAnsiTheme="minorEastAsia" w:eastAsiaTheme="minorEastAsia"/>
          <w:sz w:val="21"/>
          <w:szCs w:val="21"/>
        </w:rPr>
        <w:t xml:space="preserve">万元</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采购需求：详见磋商文件第三章采购内容。</w:t>
      </w:r>
      <w:r/>
    </w:p>
    <w:p>
      <w:pPr>
        <w:ind w:firstLine="420"/>
        <w:spacing w:line="276" w:lineRule="auto"/>
        <w:rPr>
          <w:rFonts w:asciiTheme="minorEastAsia" w:hAnsiTheme="minorEastAsia" w:eastAsiaTheme="minorEastAsia"/>
          <w:sz w:val="21"/>
          <w:szCs w:val="21"/>
        </w:rPr>
      </w:pPr>
      <w:r/>
      <w:bookmarkStart w:id="41" w:name="OLE_LINK20"/>
      <w:r/>
      <w:bookmarkStart w:id="42" w:name="OLE_LINK19"/>
      <w:r/>
      <w:bookmarkStart w:id="43" w:name="_Toc28359013"/>
      <w:r/>
      <w:bookmarkStart w:id="44" w:name="_Toc35393799"/>
      <w:r/>
      <w:bookmarkStart w:id="45" w:name="_Toc28359090"/>
      <w:r/>
      <w:bookmarkStart w:id="46" w:name="_Toc43712647"/>
      <w:r/>
      <w:bookmarkStart w:id="47" w:name="_Toc35393630"/>
      <w:r>
        <w:rPr>
          <w:rFonts w:hint="eastAsia" w:asciiTheme="minorEastAsia" w:hAnsiTheme="minorEastAsia" w:eastAsiaTheme="minorEastAsia"/>
          <w:sz w:val="21"/>
          <w:szCs w:val="21"/>
        </w:rPr>
        <w:t xml:space="preserve">合同履行期限：双方合同签订之日起3个月内完成系统部署、调试和上线工作，进入服务期；服务期限为自正式上线之日起3年。</w:t>
      </w:r>
      <w:bookmarkEnd w:id="41"/>
      <w:r/>
      <w:bookmarkEnd w:id="42"/>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本项目（是/否）接受联合体：否</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二、申请人的资格要求：</w:t>
      </w:r>
      <w:bookmarkEnd w:id="43"/>
      <w:r/>
      <w:bookmarkEnd w:id="44"/>
      <w:r/>
      <w:bookmarkEnd w:id="45"/>
      <w:r/>
      <w:bookmarkEnd w:id="46"/>
      <w:r/>
      <w:bookmarkEnd w:id="47"/>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（一）满足《中华人民共和国政府采购法》第二十二条规定：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1.具有独立承担民事责任的能力</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2.具有良好的商业信誉和健全的财务会计制度</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3.具有履行合同所必需的设备和专业技术能力</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4.有依法缴纳税收和社会保障资金的良好记录</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5.参加政府采购活动前三年内，在经营活动中没有重大违法记录</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法律、行政法规规定的其他条件</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.其他有关资格证明的文件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（二）落实政府采购政策需满足的资格要求：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本项目非专门面向中小企业采购。具体按照磋商文件第三章政府采购政策规定相关要求。</w:t>
      </w:r>
      <w:r/>
    </w:p>
    <w:p>
      <w:pPr>
        <w:ind w:firstLine="420"/>
        <w:spacing w:line="276" w:lineRule="auto"/>
        <w:rPr>
          <w:rFonts w:ascii="宋体" w:hAnsi="宋体" w:eastAsia="宋体"/>
          <w:sz w:val="21"/>
          <w:szCs w:val="21"/>
        </w:rPr>
      </w:pPr>
      <w:r>
        <w:rPr>
          <w:rFonts w:hint="eastAsia" w:asciiTheme="minorEastAsia" w:hAnsiTheme="minorEastAsia" w:eastAsiaTheme="minorEastAsia"/>
          <w:sz w:val="21"/>
          <w:szCs w:val="21"/>
        </w:rPr>
        <w:t xml:space="preserve">（三）本项目的特定资格要求：</w:t>
      </w:r>
      <w:bookmarkStart w:id="48" w:name="_Toc28359014"/>
      <w:r/>
      <w:bookmarkStart w:id="49" w:name="_Toc28359091"/>
      <w:r/>
      <w:bookmarkStart w:id="50" w:name="_Toc35393631"/>
      <w:r/>
      <w:bookmarkStart w:id="51" w:name="_Toc43712648"/>
      <w:r/>
      <w:bookmarkStart w:id="52" w:name="_Toc35393800"/>
      <w:r/>
      <w:r/>
    </w:p>
    <w:p>
      <w:pPr>
        <w:ind w:firstLine="420"/>
        <w:spacing w:line="276" w:lineRule="auto"/>
        <w:rPr>
          <w:rFonts w:asciiTheme="minorEastAsia" w:hAnsiTheme="minorEastAsia" w:eastAsiaTheme="minorEastAsia"/>
          <w:sz w:val="21"/>
          <w:szCs w:val="21"/>
        </w:rPr>
      </w:pPr>
      <w:r>
        <w:rPr>
          <w:rFonts w:ascii="宋体" w:hAnsi="宋体" w:eastAsia="宋体"/>
          <w:sz w:val="21"/>
          <w:szCs w:val="21"/>
        </w:rPr>
        <w:t xml:space="preserve">无。</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w:t>
      </w:r>
      <w:bookmarkEnd w:id="48"/>
      <w:r/>
      <w:bookmarkEnd w:id="49"/>
      <w:r/>
      <w:bookmarkEnd w:id="50"/>
      <w:r/>
      <w:bookmarkEnd w:id="51"/>
      <w:r/>
      <w:bookmarkEnd w:id="52"/>
      <w:r>
        <w:rPr>
          <w:rFonts w:hint="eastAsia" w:asciiTheme="minorEastAsia" w:hAnsiTheme="minorEastAsia" w:eastAsiaTheme="minorEastAsia"/>
          <w:b/>
          <w:sz w:val="21"/>
          <w:szCs w:val="21"/>
        </w:rPr>
        <w:t xml:space="preserve">获取磋商文件</w:t>
      </w:r>
      <w:r/>
    </w:p>
    <w:p>
      <w:pPr>
        <w:ind w:firstLine="420"/>
        <w:spacing w:line="276" w:lineRule="auto"/>
        <w:rPr>
          <w:rFonts w:cs="宋体" w:asciiTheme="minorEastAsia" w:hAnsiTheme="minorEastAsia" w:eastAsiaTheme="minorEastAsia"/>
          <w:sz w:val="21"/>
          <w:szCs w:val="21"/>
        </w:rPr>
      </w:pPr>
      <w:r/>
      <w:bookmarkStart w:id="53" w:name="_Toc28359092"/>
      <w:r/>
      <w:bookmarkStart w:id="54" w:name="_Toc35393632"/>
      <w:r/>
      <w:bookmarkStart w:id="55" w:name="_Toc43712649"/>
      <w:r/>
      <w:bookmarkStart w:id="56" w:name="_Toc28359015"/>
      <w:r/>
      <w:bookmarkStart w:id="57" w:name="_Toc35393801"/>
      <w:r/>
      <w:bookmarkStart w:id="58" w:name="_Toc35393636"/>
      <w:r/>
      <w:bookmarkStart w:id="59" w:name="_Toc43712653"/>
      <w:r/>
      <w:bookmarkStart w:id="60" w:name="_Toc35393805"/>
      <w:r/>
      <w:bookmarkStart w:id="61" w:name="_Toc28359095"/>
      <w:r/>
      <w:bookmarkStart w:id="62" w:name="_Toc28359018"/>
      <w:r>
        <w:rPr>
          <w:rFonts w:hint="eastAsia" w:cs="宋体" w:asciiTheme="minorEastAsia" w:hAnsiTheme="minorEastAsia" w:eastAsiaTheme="minorEastAsia"/>
          <w:sz w:val="21"/>
          <w:szCs w:val="21"/>
        </w:rPr>
        <w:t xml:space="preserve">时间：自磋商文件公告发布之日起</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个工作日</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地点：“苏采云”系统（网址：</w:t>
      </w:r>
      <w:r>
        <w:rPr>
          <w:rFonts w:cs="宋体" w:asciiTheme="minorEastAsia" w:hAnsiTheme="minorEastAsia" w:eastAsiaTheme="minorEastAsia"/>
          <w:sz w:val="21"/>
          <w:szCs w:val="21"/>
        </w:rPr>
        <w:t xml:space="preserve">http://jszfcg.jsczt.cn/</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方式：网上获取</w:t>
      </w:r>
      <w:r>
        <w:rPr>
          <w:rFonts w:cs="宋体" w:asciiTheme="minorEastAsia" w:hAnsiTheme="minorEastAsia" w:eastAsiaTheme="minorEastAsia"/>
          <w:sz w:val="21"/>
          <w:szCs w:val="21"/>
        </w:rPr>
        <w:tab/>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售价：0.00元</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四、响应文件提交</w:t>
      </w:r>
      <w:bookmarkEnd w:id="53"/>
      <w:r/>
      <w:bookmarkEnd w:id="54"/>
      <w:r/>
      <w:bookmarkEnd w:id="55"/>
      <w:r/>
      <w:bookmarkEnd w:id="56"/>
      <w:r/>
      <w:bookmarkEnd w:id="57"/>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截止时间：202</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en-US" w:eastAsia="zh-CN"/>
        </w:rPr>
        <w:t xml:space="preserve">23</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lang w:val="en-US" w:eastAsia="zh-CN"/>
        </w:rPr>
        <w:t xml:space="preserve">9</w:t>
      </w:r>
      <w:bookmarkStart w:id="176" w:name="_GoBack"/>
      <w:r/>
      <w:bookmarkEnd w:id="176"/>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ind w:firstLine="420"/>
        <w:spacing w:line="276" w:lineRule="auto"/>
        <w:rPr>
          <w:rFonts w:asciiTheme="minorEastAsia" w:hAnsiTheme="minorEastAsia" w:eastAsiaTheme="minorEastAsia"/>
          <w:b/>
          <w:sz w:val="21"/>
          <w:szCs w:val="21"/>
        </w:rPr>
      </w:pPr>
      <w:r/>
      <w:bookmarkStart w:id="63" w:name="OLE_LINK50"/>
      <w:r/>
      <w:bookmarkStart w:id="64" w:name="OLE_LINK46"/>
      <w:r>
        <w:rPr>
          <w:rFonts w:hint="eastAsia" w:asciiTheme="minorEastAsia" w:hAnsiTheme="minorEastAsia" w:eastAsiaTheme="minorEastAsia"/>
          <w:sz w:val="21"/>
          <w:szCs w:val="21"/>
        </w:rPr>
        <w:t xml:space="preserve">地点：</w:t>
      </w:r>
      <w:bookmarkStart w:id="65" w:name="OLE_LINK42"/>
      <w:r>
        <w:rPr>
          <w:rFonts w:hint="eastAsia" w:asciiTheme="minorEastAsia" w:hAnsiTheme="minorEastAsia" w:eastAsiaTheme="minorEastAsia"/>
          <w:sz w:val="21"/>
          <w:szCs w:val="21"/>
        </w:rPr>
        <w:t xml:space="preserve">“苏采云”系统（网址：http://jszfcg.jsczt.cn/）</w:t>
      </w:r>
      <w:bookmarkEnd w:id="63"/>
      <w:r/>
      <w:bookmarkEnd w:id="64"/>
      <w:r/>
      <w:bookmarkEnd w:id="65"/>
      <w:r/>
      <w:r/>
    </w:p>
    <w:p>
      <w:pPr>
        <w:ind w:firstLine="420"/>
        <w:spacing w:line="276" w:lineRule="auto"/>
        <w:rPr>
          <w:rFonts w:asciiTheme="minorEastAsia" w:hAnsiTheme="minorEastAsia" w:eastAsiaTheme="minorEastAsia"/>
          <w:b/>
          <w:sz w:val="21"/>
          <w:szCs w:val="21"/>
        </w:rPr>
      </w:pPr>
      <w:r/>
      <w:bookmarkStart w:id="66" w:name="_Toc35393802"/>
      <w:r/>
      <w:bookmarkStart w:id="67" w:name="_Toc28359093"/>
      <w:r/>
      <w:bookmarkStart w:id="68" w:name="_Toc35393633"/>
      <w:r/>
      <w:bookmarkStart w:id="69" w:name="_Toc43712650"/>
      <w:r/>
      <w:bookmarkStart w:id="70" w:name="_Toc28359016"/>
      <w:r>
        <w:rPr>
          <w:rFonts w:hint="eastAsia" w:asciiTheme="minorEastAsia" w:hAnsiTheme="minorEastAsia" w:eastAsiaTheme="minorEastAsia"/>
          <w:b/>
          <w:sz w:val="21"/>
          <w:szCs w:val="21"/>
        </w:rPr>
        <w:t xml:space="preserve">五、开启</w:t>
      </w:r>
      <w:bookmarkEnd w:id="66"/>
      <w:r/>
      <w:bookmarkEnd w:id="67"/>
      <w:r/>
      <w:bookmarkEnd w:id="68"/>
      <w:r/>
      <w:bookmarkEnd w:id="69"/>
      <w:r/>
      <w:bookmarkEnd w:id="70"/>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时间：202</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val="en-US" w:eastAsia="zh-CN"/>
        </w:rPr>
        <w:t xml:space="preserve">23</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lang w:val="en-US" w:eastAsia="zh-CN"/>
        </w:rPr>
        <w:t xml:space="preserve">9</w:t>
      </w:r>
      <w:r>
        <w:rPr>
          <w:rFonts w:asciiTheme="minorEastAsia" w:hAnsiTheme="minorEastAsia" w:eastAsiaTheme="minorEastAsia"/>
          <w:sz w:val="21"/>
          <w:szCs w:val="21"/>
        </w:rPr>
        <w:t xml:space="preserve">:30</w:t>
      </w:r>
      <w:r>
        <w:rPr>
          <w:rFonts w:hint="eastAsia" w:asciiTheme="minorEastAsia" w:hAnsiTheme="minorEastAsia" w:eastAsiaTheme="minorEastAsia"/>
          <w:sz w:val="21"/>
          <w:szCs w:val="21"/>
        </w:rPr>
        <w:t xml:space="preserve">（北京时间）</w:t>
      </w:r>
      <w:r/>
    </w:p>
    <w:p>
      <w:pPr>
        <w:ind w:firstLine="420"/>
        <w:spacing w:line="276" w:lineRule="auto"/>
        <w:rPr>
          <w:rFonts w:asciiTheme="minorEastAsia" w:hAnsiTheme="minorEastAsia" w:eastAsiaTheme="minorEastAsia"/>
          <w:sz w:val="21"/>
          <w:szCs w:val="21"/>
        </w:rPr>
      </w:pPr>
      <w:r/>
      <w:bookmarkStart w:id="71" w:name="_Toc35393634"/>
      <w:r/>
      <w:bookmarkStart w:id="72" w:name="_Toc43712651"/>
      <w:r/>
      <w:bookmarkStart w:id="73" w:name="_Toc35393803"/>
      <w:r/>
      <w:bookmarkStart w:id="74" w:name="_Toc28359017"/>
      <w:r/>
      <w:bookmarkStart w:id="75" w:name="_Toc28359094"/>
      <w:r>
        <w:rPr>
          <w:rFonts w:hint="eastAsia" w:asciiTheme="minorEastAsia" w:hAnsiTheme="minorEastAsia" w:eastAsiaTheme="minorEastAsia"/>
          <w:sz w:val="21"/>
          <w:szCs w:val="21"/>
        </w:rPr>
        <w:t xml:space="preserve">地点：</w:t>
      </w:r>
      <w:r>
        <w:rPr>
          <w:rFonts w:ascii="SimSun" w:hAnsi="SimSun" w:eastAsia="SimSun" w:cs="SimSun"/>
          <w:color w:val="000000"/>
          <w:sz w:val="21"/>
        </w:rPr>
        <w:t xml:space="preserve">暂无政府采购不见面虚拟开标室5</w:t>
      </w:r>
      <w:r>
        <w:rPr>
          <w:rFonts w:hint="eastAsia" w:asciiTheme="minorEastAsia" w:hAnsiTheme="minorEastAsia" w:eastAsiaTheme="minorEastAsia"/>
          <w:sz w:val="21"/>
          <w:szCs w:val="21"/>
        </w:rPr>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六、公告期限</w:t>
      </w:r>
      <w:bookmarkEnd w:id="71"/>
      <w:r/>
      <w:bookmarkEnd w:id="72"/>
      <w:r/>
      <w:bookmarkEnd w:id="73"/>
      <w:r/>
      <w:bookmarkEnd w:id="74"/>
      <w:r/>
      <w:bookmarkEnd w:id="75"/>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自本公告发布之日起3个工作日。</w:t>
      </w:r>
      <w:r/>
    </w:p>
    <w:p>
      <w:pPr>
        <w:ind w:firstLine="420"/>
        <w:spacing w:line="276" w:lineRule="auto"/>
        <w:rPr>
          <w:rFonts w:asciiTheme="minorEastAsia" w:hAnsiTheme="minorEastAsia" w:eastAsiaTheme="minorEastAsia"/>
          <w:b/>
          <w:sz w:val="21"/>
          <w:szCs w:val="21"/>
        </w:rPr>
      </w:pPr>
      <w:r/>
      <w:bookmarkStart w:id="76" w:name="_Toc35393635"/>
      <w:r/>
      <w:bookmarkStart w:id="77" w:name="_Toc35393804"/>
      <w:r/>
      <w:bookmarkStart w:id="78" w:name="_Toc43712652"/>
      <w:r>
        <w:rPr>
          <w:rFonts w:hint="eastAsia" w:asciiTheme="minorEastAsia" w:hAnsiTheme="minorEastAsia" w:eastAsiaTheme="minorEastAsia"/>
          <w:b/>
          <w:sz w:val="21"/>
          <w:szCs w:val="21"/>
        </w:rPr>
        <w:t xml:space="preserve">七、其他补充事宜</w:t>
      </w:r>
      <w:bookmarkEnd w:id="76"/>
      <w:r/>
      <w:bookmarkEnd w:id="77"/>
      <w:r/>
      <w:bookmarkEnd w:id="78"/>
      <w:r/>
      <w:r/>
    </w:p>
    <w:p>
      <w:pPr>
        <w:ind w:firstLine="420"/>
        <w:jc w:val="left"/>
        <w:spacing w:line="276" w:lineRule="auto"/>
        <w:rPr>
          <w:rFonts w:ascii="宋体" w:hAnsi="宋体" w:eastAsia="宋体" w:cs="宋体"/>
          <w:sz w:val="21"/>
          <w:szCs w:val="21"/>
        </w:rPr>
      </w:pPr>
      <w:r>
        <w:rPr>
          <w:rFonts w:hint="eastAsia" w:cs="宋体" w:asciiTheme="minorEastAsia" w:hAnsiTheme="minorEastAsia" w:eastAsiaTheme="minorEastAsia"/>
          <w:sz w:val="21"/>
          <w:szCs w:val="21"/>
        </w:rPr>
        <w:t xml:space="preserve">1.</w:t>
      </w:r>
      <w:r>
        <w:rPr>
          <w:rFonts w:hint="eastAsia" w:ascii="宋体" w:hAnsi="宋体" w:eastAsia="宋体" w:cs="宋体"/>
          <w:sz w:val="21"/>
          <w:szCs w:val="21"/>
        </w:rPr>
        <w:t xml:space="preserve">苏州市吴中区财政局政府采购监督电话：</w:t>
      </w:r>
      <w:bookmarkStart w:id="79" w:name="OLE_LINK95"/>
      <w:r/>
      <w:bookmarkStart w:id="80" w:name="OLE_LINK96"/>
      <w:r>
        <w:rPr>
          <w:rFonts w:hint="eastAsia" w:ascii="宋体" w:hAnsi="宋体" w:eastAsia="宋体" w:cs="宋体"/>
          <w:sz w:val="21"/>
          <w:szCs w:val="21"/>
        </w:rPr>
        <w:t xml:space="preserve">0512-</w:t>
      </w:r>
      <w:bookmarkEnd w:id="79"/>
      <w:r/>
      <w:bookmarkEnd w:id="80"/>
      <w:r>
        <w:rPr>
          <w:rFonts w:hint="eastAsia" w:ascii="宋体" w:hAnsi="宋体" w:eastAsia="宋体" w:cs="宋体"/>
          <w:sz w:val="21"/>
          <w:szCs w:val="21"/>
        </w:rPr>
        <w:t xml:space="preserve">65283947。</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本公告有关信息将同时在苏州市政府采购网、江苏政府采购网上发布，敬请留意！</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.本次采购需要落实的政府采购政策：</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1）根据《政府采购促进中小企业发展管理办法》（财库﹝2020﹞46号）的规定执行。</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2）根据《关于贯彻执行绿色采购、促进残疾人就业和支持监狱企业发展有关政策的通知》（苏财购〔2019〕10号）的规定执行。</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3）根据江苏省财政厅《关于做好政府采购支持企业发展有关事项的通知》（苏财购〔2020〕52号）的规定执行。</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未依照竞争性磋商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.单位负责人为同一人或者存在直接控股、管理关系的不同供应商，不得参加同一合同项下的政府采购活动。</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供应商应充分考虑到网络环境、网络带宽等风险因素，如因供应商自身原因造成的电子响应文件上传不成功由供应商自行承担全部责任。</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.本项目为不见面磋商项目，开启阶段供应商在【供应商解密】环节须使用CA证书解密电子响应文件，如在系统规定的解密时间内未能完成解密的视为放弃参与本项目。</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请供应商确保电脑、系统及其他设备（视频输入输出设备等）无误，且开启直至项目结束始终保持系统在线状态。</w:t>
      </w:r>
      <w:r/>
    </w:p>
    <w:p>
      <w:pPr>
        <w:ind w:firstLine="420"/>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.操作事项</w:t>
      </w:r>
      <w:r/>
    </w:p>
    <w:p>
      <w:pPr>
        <w:ind w:firstLine="420"/>
        <w:spacing w:line="276" w:lineRule="auto"/>
        <w:rPr>
          <w:rFonts w:cs="宋体" w:asciiTheme="minorEastAsia" w:hAnsiTheme="minorEastAsia" w:eastAsiaTheme="minorEastAsia"/>
          <w:sz w:val="21"/>
          <w:szCs w:val="21"/>
        </w:rPr>
      </w:pPr>
      <w:r/>
      <w:bookmarkStart w:id="81" w:name="OLE_LINK5"/>
      <w:r/>
      <w:bookmarkStart w:id="82" w:name="OLE_LINK4"/>
      <w:r>
        <w:rPr>
          <w:rFonts w:hint="eastAsia" w:cs="宋体" w:asciiTheme="minorEastAsia" w:hAnsiTheme="minorEastAsia" w:eastAsiaTheme="minorEastAsia"/>
          <w:sz w:val="21"/>
          <w:szCs w:val="21"/>
        </w:rPr>
        <w:t xml:space="preserve">（1）CA证书办理</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20"/>
        <w:spacing w:line="276" w:lineRule="auto"/>
        <w:rPr>
          <w:rFonts w:cs="宋体" w:asciiTheme="minorEastAsia" w:hAnsiTheme="minorEastAsia" w:eastAsiaTheme="minorEastAsia"/>
          <w:sz w:val="21"/>
          <w:szCs w:val="21"/>
        </w:rPr>
      </w:pPr>
      <w:r>
        <w:rPr>
          <w:rFonts w:hint="eastAsia" w:ascii="宋体" w:hAnsi="宋体" w:eastAsia="宋体" w:cs="宋体"/>
          <w:sz w:val="21"/>
          <w:szCs w:val="21"/>
        </w:rPr>
        <w:t xml:space="preserve">苏州现场办理地址：苏州市高新区邓蔚路105号狮山科技馆一楼服务大厅，咨询电话：0512-65737699</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（2）参与采购活动</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插入CA证书登陆“苏采云”系统后选择具体项目，点击“我要参与”并签章提交《投标供应商确认函》，提交《投标供应商确认函》日期视同为依法获取磋商文件日期。供应商须打印、保留《投标供应商确认函》，质疑时《投标供应商确认函》与质疑函一并提交。</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（3）电子投标准备</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在“苏采云”系统中操作成功参与项目后，须在“已参与项目”界面中下载电子磋商文件（后缀名为“.kedt”）并导入政府采购客户端工具后方可进行响应文件制作和提交（具体详见《苏采云系统供应商操作手册》，网址链接https://czju.suzhou.gov.cn/zfcg/html/content/20231220161910031.shtml）。</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在系统操作过程中如有疑问，请按以下方式联系：</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注册咨询：</w:t>
      </w:r>
      <w:r>
        <w:rPr>
          <w:rFonts w:cs="宋体" w:asciiTheme="minorEastAsia" w:hAnsiTheme="minorEastAsia" w:eastAsiaTheme="minorEastAsia"/>
          <w:sz w:val="21"/>
          <w:szCs w:val="21"/>
        </w:rPr>
        <w:t xml:space="preserve">0512-69820854</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CA技术咨询电话：400-608-6099；</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签章使用问题：025-83633811、025-83633812、15380932027、15371015030；</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系统使用指导与咨询：联系电话：0512-69820854；智能客服：登录苏采云系统后，联系系统右下方智能客服图标进行咨询。</w:t>
      </w:r>
      <w:bookmarkEnd w:id="81"/>
      <w:r/>
      <w:bookmarkEnd w:id="82"/>
      <w:r/>
      <w:r/>
    </w:p>
    <w:p>
      <w:pPr>
        <w:ind w:firstLine="420"/>
        <w:spacing w:line="276" w:lineRule="auto"/>
        <w:rPr>
          <w:rFonts w:asciiTheme="minorEastAsia" w:hAnsiTheme="minorEastAsia" w:eastAsiaTheme="minorEastAsia"/>
          <w:sz w:val="21"/>
          <w:szCs w:val="21"/>
        </w:rPr>
      </w:pP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根据苏州市财政局《关于深入开展苏州市政府采购合同信用融资业务的通知》相关要求，本项目支持政府采购合同信用融资。</w:t>
      </w:r>
      <w:r/>
    </w:p>
    <w:p>
      <w:pPr>
        <w:ind w:firstLine="420"/>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八、凡对本次采购提出询问，请按</w:t>
      </w:r>
      <w:r>
        <w:rPr>
          <w:rFonts w:asciiTheme="minorEastAsia" w:hAnsiTheme="minorEastAsia" w:eastAsiaTheme="minorEastAsia"/>
          <w:b/>
          <w:sz w:val="21"/>
          <w:szCs w:val="21"/>
        </w:rPr>
        <w:t xml:space="preserve">以下方式</w:t>
      </w:r>
      <w:r>
        <w:rPr>
          <w:rFonts w:hint="eastAsia" w:asciiTheme="minorEastAsia" w:hAnsiTheme="minorEastAsia" w:eastAsiaTheme="minorEastAsia"/>
          <w:b/>
          <w:sz w:val="21"/>
          <w:szCs w:val="21"/>
        </w:rPr>
        <w:t xml:space="preserve">联系。</w:t>
      </w:r>
      <w:bookmarkEnd w:id="58"/>
      <w:r/>
      <w:bookmarkEnd w:id="59"/>
      <w:r/>
      <w:bookmarkEnd w:id="60"/>
      <w:r/>
      <w:bookmarkEnd w:id="61"/>
      <w:r/>
      <w:bookmarkEnd w:id="62"/>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1.采购人信息</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w:t>
      </w:r>
      <w:bookmarkStart w:id="83" w:name="OLE_LINK107"/>
      <w:r/>
      <w:bookmarkStart w:id="84" w:name="OLE_LINK105"/>
      <w:r>
        <w:rPr>
          <w:rFonts w:hint="eastAsia" w:asciiTheme="minorEastAsia" w:hAnsiTheme="minorEastAsia" w:eastAsiaTheme="minorEastAsia"/>
          <w:sz w:val="21"/>
          <w:szCs w:val="21"/>
        </w:rPr>
        <w:t xml:space="preserve">苏州市吴中区临湖镇人民政府</w:t>
      </w:r>
      <w:bookmarkEnd w:id="83"/>
      <w:r/>
      <w:bookmarkEnd w:id="84"/>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单位地址：</w:t>
      </w:r>
      <w:r>
        <w:rPr>
          <w:rFonts w:hint="eastAsia" w:ascii="宋体" w:hAnsi="宋体" w:eastAsia="宋体"/>
          <w:sz w:val="21"/>
          <w:szCs w:val="21"/>
        </w:rPr>
        <w:t xml:space="preserve">苏州市吴中区临湖镇东山大道3988号</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联系人：邵琦</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联系方式：</w:t>
      </w:r>
      <w:r>
        <w:rPr>
          <w:rFonts w:ascii="宋体" w:hAnsi="宋体" w:eastAsia="宋体"/>
          <w:sz w:val="21"/>
          <w:szCs w:val="21"/>
        </w:rPr>
        <w:t xml:space="preserve">17761890030</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2.采购代理机构信息（如有）</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单位名称：苏州昊怡通招标有限公司</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单位名称：苏州工业园区唯新路60号38幢1101室</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联系人：刘云</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rPr>
          <w:rFonts w:asciiTheme="minorEastAsia" w:hAnsiTheme="minorEastAsia" w:eastAsiaTheme="minorEastAsia"/>
          <w:sz w:val="21"/>
          <w:szCs w:val="21"/>
        </w:rPr>
        <w:t xml:space="preserve">0512-62700513</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3.项目</w:t>
      </w:r>
      <w:r>
        <w:rPr>
          <w:rFonts w:asciiTheme="minorEastAsia" w:hAnsiTheme="minorEastAsia" w:eastAsiaTheme="minorEastAsia"/>
          <w:sz w:val="21"/>
          <w:szCs w:val="21"/>
        </w:rPr>
        <w:t xml:space="preserve">联系方式</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项目联系人：刘云</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话：0512-62700513</w:t>
      </w:r>
      <w:r/>
    </w:p>
    <w:p>
      <w:r/>
      <w:r/>
    </w:p>
    <w:p>
      <w:pPr>
        <w:rPr>
          <w:rFonts w:asciiTheme="minorEastAsia" w:hAnsiTheme="minorEastAsia" w:eastAsiaTheme="minorEastAsia"/>
        </w:rPr>
      </w:pPr>
      <w:r>
        <w:rPr>
          <w:rFonts w:asciiTheme="minorEastAsia" w:hAnsiTheme="minorEastAsia" w:eastAsiaTheme="minorEastAsia"/>
        </w:rPr>
        <w:br w:type="column"/>
      </w:r>
      <w:r/>
    </w:p>
    <w:p>
      <w:pPr>
        <w:pStyle w:val="869"/>
        <w:jc w:val="center"/>
        <w:spacing w:before="0" w:after="0" w:line="276" w:lineRule="auto"/>
        <w:tabs>
          <w:tab w:val="left" w:pos="3570" w:leader="none"/>
        </w:tabs>
        <w:rPr>
          <w:rFonts w:asciiTheme="minorEastAsia" w:hAnsiTheme="minorEastAsia" w:eastAsiaTheme="minorEastAsia"/>
          <w:bCs/>
          <w:sz w:val="28"/>
          <w:szCs w:val="28"/>
        </w:rPr>
      </w:pPr>
      <w:r/>
      <w:bookmarkStart w:id="85" w:name="_Toc73209036"/>
      <w:r/>
      <w:bookmarkStart w:id="86" w:name="_Toc73208692"/>
      <w:r/>
      <w:bookmarkStart w:id="87" w:name="_Toc73209107"/>
      <w:r/>
      <w:bookmarkStart w:id="88" w:name="_Toc73208475"/>
      <w:r/>
      <w:bookmarkStart w:id="89" w:name="_Toc73208785"/>
      <w:r>
        <w:rPr>
          <w:rFonts w:hint="eastAsia" w:asciiTheme="minorEastAsia" w:hAnsiTheme="minorEastAsia" w:eastAsiaTheme="minorEastAsia"/>
          <w:bCs/>
          <w:sz w:val="28"/>
          <w:szCs w:val="28"/>
        </w:rPr>
        <w:t xml:space="preserve">第二章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响应文件格式</w:t>
      </w:r>
      <w:bookmarkEnd w:id="85"/>
      <w:r/>
      <w:bookmarkEnd w:id="86"/>
      <w:r/>
      <w:bookmarkEnd w:id="87"/>
      <w:r/>
      <w:bookmarkEnd w:id="88"/>
      <w:r/>
      <w:bookmarkEnd w:id="89"/>
      <w:r/>
      <w:r/>
    </w:p>
    <w:p>
      <w:pPr>
        <w:pStyle w:val="880"/>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ind w:firstLine="420"/>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对本章所有的格式，供应商可根据自身情况进行补充和修改，但补充和修改不得造成与本格式内容有实质性的违背。</w:t>
      </w:r>
      <w:r/>
    </w:p>
    <w:p>
      <w:r/>
      <w:r/>
    </w:p>
    <w:p>
      <w: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响应函</w:t>
      </w:r>
      <w:r/>
    </w:p>
    <w:p>
      <w:pPr>
        <w:jc w:val="center"/>
        <w:spacing w:line="276" w:lineRule="auto"/>
        <w:rPr>
          <w:rFonts w:asciiTheme="minorEastAsia" w:hAnsiTheme="minorEastAsia" w:eastAsiaTheme="minorEastAsia"/>
          <w:b/>
          <w:sz w:val="28"/>
          <w:szCs w:val="28"/>
        </w:rPr>
      </w:pPr>
      <w:r/>
      <w:bookmarkStart w:id="90" w:name="_Toc474336170"/>
      <w:r/>
      <w:bookmarkStart w:id="91" w:name="_Toc475522886"/>
      <w:r>
        <w:rPr>
          <w:rFonts w:hint="eastAsia" w:asciiTheme="minorEastAsia" w:hAnsiTheme="minorEastAsia" w:eastAsiaTheme="minorEastAsia"/>
          <w:b/>
          <w:sz w:val="28"/>
          <w:szCs w:val="28"/>
        </w:rPr>
        <w:t xml:space="preserve">响应函</w:t>
      </w:r>
      <w:r/>
    </w:p>
    <w:p>
      <w:pPr>
        <w:pStyle w:val="880"/>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苏州昊怡通招标有限公司</w:t>
      </w:r>
      <w:r>
        <w:rPr>
          <w:rFonts w:hint="eastAsia" w:asciiTheme="minorEastAsia" w:hAnsiTheme="minorEastAsia" w:eastAsiaTheme="minorEastAsia"/>
          <w:sz w:val="21"/>
          <w:szCs w:val="21"/>
        </w:rPr>
        <w:t xml:space="preserve">：</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我方收到贵公司 </w:t>
      </w:r>
      <w:r>
        <w:rPr>
          <w:rFonts w:hint="eastAsia" w:asciiTheme="minorEastAsia" w:hAnsiTheme="minorEastAsia" w:eastAsiaTheme="minorEastAsia"/>
          <w:sz w:val="21"/>
          <w:szCs w:val="21"/>
          <w:u w:val="single"/>
        </w:rPr>
        <w:t xml:space="preserve">JSZC-320506111-HYTZ-C2026-0001</w:t>
      </w:r>
      <w:r>
        <w:rPr>
          <w:rFonts w:hint="eastAsia" w:asciiTheme="minorEastAsia" w:hAnsiTheme="minorEastAsia" w:eastAsiaTheme="minorEastAsia"/>
          <w:sz w:val="21"/>
          <w:szCs w:val="21"/>
        </w:rPr>
        <w:t xml:space="preserve">号磋商文件，经仔细阅读和研究，我方决定参加磋商活动。</w:t>
      </w:r>
      <w:r/>
    </w:p>
    <w:p>
      <w:pPr>
        <w:pStyle w:val="1067"/>
        <w:ind w:left="0" w:firstLine="420"/>
        <w:spacing w:line="276" w:lineRule="auto"/>
        <w:tabs>
          <w:tab w:val="left" w:pos="351" w:leader="none"/>
        </w:tabs>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、我方愿意按照磋商文件的一切要求，提供完成该项目的全部内容，我方的报价</w:t>
      </w:r>
      <w:r>
        <w:rPr>
          <w:rFonts w:hint="eastAsia" w:hAnsi="宋体"/>
        </w:rPr>
        <w:t xml:space="preserve">包含人工费、材料费、机械使用费、措施费管理费、安装调试、技术支持、售后服务及相关劳务支出、保险费、利润、税金、政策性文件规定及合同包含的所有风险、责任等完成本项目的各项应有费用。</w:t>
      </w:r>
      <w:r/>
    </w:p>
    <w:p>
      <w:pPr>
        <w:pStyle w:val="1067"/>
        <w:ind w:left="0" w:firstLine="420"/>
        <w:spacing w:line="276" w:lineRule="auto"/>
        <w:tabs>
          <w:tab w:val="left" w:pos="351" w:leader="none"/>
        </w:tabs>
        <w:rPr>
          <w:rFonts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、如果我方的响应文件被接受，我方将严格履行磋商文件中规定的每一项要求，按期、按质、按量履行合同的义务。</w:t>
      </w:r>
      <w:r/>
    </w:p>
    <w:p>
      <w:pPr>
        <w:pStyle w:val="1082"/>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、我方已</w:t>
      </w:r>
      <w:r>
        <w:rPr>
          <w:rFonts w:asciiTheme="minorEastAsia" w:hAnsiTheme="minorEastAsia" w:eastAsiaTheme="minorEastAsia"/>
          <w:sz w:val="21"/>
          <w:szCs w:val="21"/>
        </w:rPr>
        <w:t xml:space="preserve">详细审查全部</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，包括</w:t>
      </w:r>
      <w:r>
        <w:rPr>
          <w:rFonts w:hint="eastAsia" w:asciiTheme="minorEastAsia" w:hAnsiTheme="minorEastAsia" w:eastAsiaTheme="minorEastAsia"/>
          <w:sz w:val="21"/>
          <w:szCs w:val="21"/>
        </w:rPr>
        <w:t xml:space="preserve">更正公告</w:t>
      </w:r>
      <w:r>
        <w:rPr>
          <w:rFonts w:asciiTheme="minorEastAsia" w:hAnsiTheme="minorEastAsia" w:eastAsiaTheme="minorEastAsia"/>
          <w:sz w:val="21"/>
          <w:szCs w:val="21"/>
        </w:rPr>
        <w:t xml:space="preserve">(如</w:t>
      </w:r>
      <w:r>
        <w:rPr>
          <w:rFonts w:hint="eastAsia" w:asciiTheme="minorEastAsia" w:hAnsiTheme="minorEastAsia" w:eastAsiaTheme="minorEastAsia"/>
          <w:sz w:val="21"/>
          <w:szCs w:val="21"/>
        </w:rPr>
        <w:t xml:space="preserve">有</w:t>
      </w:r>
      <w:r>
        <w:rPr>
          <w:rFonts w:asciiTheme="minorEastAsia" w:hAnsiTheme="minorEastAsia" w:eastAsiaTheme="minorEastAsia"/>
          <w:sz w:val="21"/>
          <w:szCs w:val="21"/>
        </w:rPr>
        <w:t xml:space="preserve">)。我方完全理解并同意放弃对这方面有不明及误解的权力。</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4、我方同意按磋商文件中的规定，本响应文件的有效期限为响应文件提交截止之日起</w:t>
      </w:r>
      <w:r>
        <w:rPr>
          <w:rFonts w:hint="eastAsia" w:asciiTheme="minorEastAsia" w:hAnsiTheme="minorEastAsia" w:eastAsiaTheme="minorEastAsia"/>
          <w:sz w:val="21"/>
          <w:szCs w:val="21"/>
          <w:u w:val="single"/>
        </w:rPr>
        <w:t xml:space="preserve">90</w:t>
      </w:r>
      <w:r>
        <w:rPr>
          <w:rFonts w:hint="eastAsia" w:asciiTheme="minorEastAsia" w:hAnsiTheme="minorEastAsia" w:eastAsiaTheme="minorEastAsia"/>
          <w:sz w:val="21"/>
          <w:szCs w:val="21"/>
        </w:rPr>
        <w:t xml:space="preserve">天。</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5、我方愿意提供采购人在磋商文件中要求的所有资料。</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6、我方愿意遵守磋商文件中所列的收费标准。</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7、我方承诺该响应文件在磋商开始后的全过程中保持有效，不作任何更改和变动。</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8、我方承诺我公司符合磋商文件中“合格供应商的一般条件和特定条件”的要求，若与真实情况不符，本公司愿意承担由此而产生的一切后果。</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9、我方声明：我方在参加本次政府采购活动前3年内在经营活动中没有重大违法记录。</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10、如果我方成交，我方愿意按磋商文件的规定支付代理服务费；</w:t>
      </w:r>
      <w:r/>
    </w:p>
    <w:p>
      <w:pPr>
        <w:pStyle w:val="1082"/>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、综合说明：</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）伴随服务及配合措施；</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）要求甲方提供的配合；</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）对磋商文件有不同意见的偏离说明；</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）其它说明。</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所有有关响应文件的函电，请按下列地址联系：</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                             联系人：</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                             邮政编码：</w:t>
      </w:r>
      <w:r/>
    </w:p>
    <w:p>
      <w:pPr>
        <w:pStyle w:val="1082"/>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                         传真：</w:t>
      </w:r>
      <w:r/>
    </w:p>
    <w:p>
      <w:pPr>
        <w:pStyle w:val="110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0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法定代表人身份证明</w:t>
      </w:r>
      <w:bookmarkEnd w:id="90"/>
      <w:r/>
      <w:bookmarkEnd w:id="91"/>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法定代表人身份证明</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单位性质：</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成立时间：    年    月    日</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经营期限：</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 性别： 年龄： 职务：</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 （供应商名称）的法定代表人（负责</w:t>
      </w:r>
      <w:r>
        <w:rPr>
          <w:rFonts w:cs="宋体" w:asciiTheme="minorEastAsia" w:hAnsiTheme="minorEastAsia" w:eastAsiaTheme="minorEastAsia"/>
          <w:sz w:val="21"/>
          <w:szCs w:val="21"/>
        </w:rPr>
        <w:t xml:space="preserve">人</w:t>
      </w:r>
      <w:r>
        <w:rPr>
          <w:rFonts w:hint="eastAsia" w:cs="宋体" w:asciiTheme="minorEastAsia" w:hAnsiTheme="minorEastAsia" w:eastAsiaTheme="minorEastAsia"/>
          <w:sz w:val="21"/>
          <w:szCs w:val="21"/>
        </w:rPr>
        <w:t xml:space="preserve">）。</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特此证明。</w:t>
      </w:r>
      <w:r/>
    </w:p>
    <w:p>
      <w:pPr>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附：法定代表人身份证复印件</w:t>
      </w:r>
      <w:r/>
    </w:p>
    <w:p>
      <w:pPr>
        <w:pStyle w:val="110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0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法定代表人（签字或盖章）：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（供应商）授权委托书</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授权委托书</w:t>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本授权委托书声明：我</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（姓名）系 </w:t>
      </w:r>
      <w:r>
        <w:rPr>
          <w:rFonts w:hint="eastAsia" w:asciiTheme="minorEastAsia" w:hAnsiTheme="minorEastAsia" w:eastAsiaTheme="minorEastAsia"/>
          <w:sz w:val="21"/>
          <w:szCs w:val="21"/>
          <w:u w:val="single"/>
        </w:rPr>
        <w:t xml:space="preserve">（供应商名称） </w:t>
      </w:r>
      <w:r>
        <w:rPr>
          <w:rFonts w:hint="eastAsia" w:asciiTheme="minorEastAsia" w:hAnsiTheme="minorEastAsia" w:eastAsiaTheme="minorEastAsia"/>
          <w:sz w:val="21"/>
          <w:szCs w:val="21"/>
        </w:rPr>
        <w:t xml:space="preserve">的法定代表人（负责</w:t>
      </w:r>
      <w:r>
        <w:rPr>
          <w:rFonts w:asciiTheme="minorEastAsia" w:hAnsiTheme="minorEastAsia" w:eastAsiaTheme="minorEastAsia"/>
          <w:sz w:val="21"/>
          <w:szCs w:val="21"/>
        </w:rPr>
        <w:t xml:space="preserve">人</w:t>
      </w:r>
      <w:r>
        <w:rPr>
          <w:rFonts w:hint="eastAsia" w:asciiTheme="minorEastAsia" w:hAnsiTheme="minorEastAsia" w:eastAsiaTheme="minorEastAsia"/>
          <w:sz w:val="21"/>
          <w:szCs w:val="21"/>
        </w:rPr>
        <w:t xml:space="preserve">），现授权委托</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（姓名）为我公司授权代表（即代理人），以本公司的名义参加 </w:t>
      </w:r>
      <w:r>
        <w:rPr>
          <w:rFonts w:hint="eastAsia" w:asciiTheme="minorEastAsia" w:hAnsiTheme="minorEastAsia" w:eastAsiaTheme="minorEastAsia"/>
          <w:sz w:val="21"/>
          <w:szCs w:val="21"/>
          <w:u w:val="single"/>
        </w:rPr>
        <w:t xml:space="preserve">苏州昊怡通招标有限公司</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组织实施的编号为</w:t>
      </w:r>
      <w:r>
        <w:rPr>
          <w:rFonts w:asciiTheme="minorEastAsia" w:hAnsiTheme="minorEastAsia" w:eastAsiaTheme="minorEastAsia"/>
          <w:sz w:val="21"/>
          <w:szCs w:val="21"/>
          <w:u w:val="single"/>
        </w:rPr>
        <w:t xml:space="preserve"> JSZC-320506111-HYTZ-C2026-0001</w:t>
      </w:r>
      <w:r>
        <w:rPr>
          <w:rFonts w:hint="eastAsia" w:asciiTheme="minorEastAsia" w:hAnsiTheme="minorEastAsia" w:eastAsiaTheme="minorEastAsia"/>
          <w:sz w:val="21"/>
          <w:szCs w:val="21"/>
        </w:rPr>
        <w:t xml:space="preserve">号的磋商活动。授权代表在磋商活动过程中所签署的一切文件和处理与这有关的一切事务，我均予以承认。</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授权代表无转委托权。特此委托。</w:t>
      </w:r>
      <w:r/>
    </w:p>
    <w:p>
      <w:pPr>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附：授权代表身份证复印件</w:t>
      </w:r>
      <w:r/>
    </w:p>
    <w:p>
      <w:pPr>
        <w:ind w:firstLine="4830"/>
        <w:jc w:val="left"/>
        <w:spacing w:line="360"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835" w:firstLine="483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法定代表人：（签字或</w:t>
      </w:r>
      <w:r>
        <w:rPr>
          <w:rFonts w:cs="宋体" w:asciiTheme="minorEastAsia" w:hAnsiTheme="minorEastAsia" w:eastAsiaTheme="minorEastAsia"/>
          <w:sz w:val="21"/>
          <w:szCs w:val="21"/>
        </w:rPr>
        <w:t xml:space="preserve">盖章</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1575" w:firstLine="483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spacing w:val="20"/>
        </w:rPr>
      </w:pPr>
      <w: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响应报价表</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开标一览表（响应报价表）</w:t>
      </w:r>
      <w:r/>
    </w:p>
    <w:p>
      <w:pPr>
        <w:ind w:firstLine="420"/>
        <w:jc w:val="left"/>
        <w:spacing w:line="360" w:lineRule="auto"/>
        <w:rPr>
          <w:rFonts w:hint="eastAsia" w:asciiTheme="minorEastAsia" w:hAnsiTheme="minorEastAsia" w:eastAsiaTheme="minorEastAsia"/>
          <w:sz w:val="21"/>
          <w:szCs w:val="24"/>
        </w:rPr>
      </w:pPr>
      <w:r>
        <w:rPr>
          <w:rFonts w:hint="eastAsia" w:asciiTheme="minorEastAsia" w:hAnsiTheme="minorEastAsia" w:eastAsiaTheme="minorEastAsia"/>
          <w:sz w:val="21"/>
          <w:szCs w:val="24"/>
        </w:rPr>
        <w:t xml:space="preserve">供应商全称（加盖公章）：</w:t>
      </w:r>
      <w:r/>
    </w:p>
    <w:p>
      <w:pPr>
        <w:ind w:firstLine="420"/>
        <w:jc w:val="left"/>
        <w:spacing w:line="360" w:lineRule="auto"/>
        <w:rPr>
          <w:rFonts w:asciiTheme="minorEastAsia" w:hAnsiTheme="minorEastAsia" w:eastAsiaTheme="minorEastAsia"/>
          <w:sz w:val="21"/>
          <w:szCs w:val="24"/>
        </w:rPr>
      </w:pPr>
      <w:r>
        <w:rPr>
          <w:rFonts w:hint="eastAsia" w:asciiTheme="minorEastAsia" w:hAnsiTheme="minorEastAsia" w:eastAsiaTheme="minorEastAsia"/>
          <w:sz w:val="21"/>
          <w:szCs w:val="21"/>
        </w:rPr>
        <w:t xml:space="preserve">项目名称</w:t>
      </w:r>
      <w:r>
        <w:rPr>
          <w:rFonts w:hint="eastAsia" w:asciiTheme="minorEastAsia" w:hAnsiTheme="minorEastAsia" w:eastAsiaTheme="minorEastAsia"/>
          <w:sz w:val="21"/>
          <w:szCs w:val="24"/>
        </w:rPr>
        <w:t xml:space="preserve">：</w:t>
      </w:r>
      <w:r>
        <w:rPr>
          <w:rFonts w:hint="eastAsia" w:asciiTheme="minorEastAsia" w:hAnsiTheme="minorEastAsia" w:eastAsiaTheme="minorEastAsia"/>
          <w:sz w:val="21"/>
          <w:szCs w:val="21"/>
        </w:rPr>
        <w:t xml:space="preserve">无人机“综合飞一次”项目</w:t>
      </w:r>
      <w:r/>
    </w:p>
    <w:p>
      <w:pPr>
        <w:ind w:firstLine="420"/>
        <w:jc w:val="left"/>
        <w:spacing w:line="360" w:lineRule="auto"/>
        <w:rPr>
          <w:rFonts w:asciiTheme="minorEastAsia" w:hAnsiTheme="minorEastAsia" w:eastAsiaTheme="minorEastAsia"/>
          <w:sz w:val="21"/>
          <w:szCs w:val="24"/>
        </w:rPr>
      </w:pPr>
      <w:r>
        <w:rPr>
          <w:rFonts w:hint="eastAsia" w:asciiTheme="minorEastAsia" w:hAnsiTheme="minorEastAsia" w:eastAsiaTheme="minorEastAsia"/>
          <w:sz w:val="21"/>
          <w:szCs w:val="24"/>
        </w:rPr>
        <w:t xml:space="preserve">项目编号：</w:t>
      </w:r>
      <w:r>
        <w:rPr>
          <w:rFonts w:asciiTheme="minorEastAsia" w:hAnsiTheme="minorEastAsia" w:eastAsiaTheme="minorEastAsia"/>
          <w:sz w:val="21"/>
          <w:szCs w:val="24"/>
        </w:rPr>
        <w:t xml:space="preserve">JSZC-320506111-HYTZ-C2026-0001</w:t>
      </w:r>
      <w:bookmarkStart w:id="92" w:name="FBH"/>
      <w:r/>
      <w:bookmarkEnd w:id="92"/>
      <w:r/>
      <w:r/>
    </w:p>
    <w:p>
      <w:pPr>
        <w:ind w:firstLine="420"/>
        <w:spacing w:line="440" w:lineRule="exact"/>
        <w:rPr>
          <w:rFonts w:hint="eastAsia"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分包号：</w:t>
      </w:r>
      <w:r/>
    </w:p>
    <w:tbl>
      <w:tblPr>
        <w:tblStyle w:val="87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8"/>
        <w:gridCol w:w="5704"/>
      </w:tblGrid>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响应总报价</w:t>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left"/>
              <w:spacing w:line="360" w:lineRule="auto"/>
              <w:rPr>
                <w:rFonts w:asciiTheme="minorEastAsia" w:hAnsiTheme="minorEastAsia" w:eastAsiaTheme="minorEastAsia"/>
                <w:sz w:val="21"/>
                <w:szCs w:val="21"/>
              </w:rPr>
            </w:pPr>
            <w:r/>
            <w:bookmarkStart w:id="93" w:name="XMMC"/>
            <w:r/>
            <w:bookmarkEnd w:id="93"/>
            <w:r/>
            <w:bookmarkStart w:id="94" w:name="_Hlk210031784"/>
            <w:r>
              <w:rPr>
                <w:rFonts w:hint="eastAsia" w:asciiTheme="minorEastAsia" w:hAnsiTheme="minorEastAsia" w:eastAsiaTheme="minorEastAsia"/>
                <w:sz w:val="21"/>
                <w:szCs w:val="21"/>
              </w:rPr>
              <w:t xml:space="preserve">无人机“综合飞一次”项目</w:t>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小写：</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（元人民币）</w:t>
            </w:r>
            <w:bookmarkEnd w:id="94"/>
            <w:r/>
            <w:r/>
          </w:p>
        </w:tc>
      </w:tr>
      <w:tr>
        <w:trPr>
          <w:cantSplit/>
          <w:jc w:val="center"/>
          <w:trHeight w:val="20"/>
        </w:trPr>
        <w:tc>
          <w:tcPr>
            <w:tcBorders>
              <w:top w:val="single" w:color="auto" w:sz="4" w:space="0"/>
              <w:left w:val="single" w:color="auto" w:sz="4" w:space="0"/>
              <w:bottom w:val="single" w:color="auto" w:sz="4" w:space="0"/>
              <w:right w:val="single" w:color="auto" w:sz="4" w:space="0"/>
            </w:tcBorders>
            <w:tcW w:w="2137" w:type="pct"/>
            <w:vAlign w:val="center"/>
            <w:textDirection w:val="lrTb"/>
            <w:noWrap w:val="false"/>
          </w:tcPr>
          <w:p>
            <w:pPr>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响应报价（含税）大写金额</w:t>
            </w:r>
            <w:r/>
          </w:p>
        </w:tc>
        <w:tc>
          <w:tcPr>
            <w:tcBorders>
              <w:top w:val="single" w:color="auto" w:sz="4" w:space="0"/>
              <w:left w:val="single" w:color="auto" w:sz="4" w:space="0"/>
              <w:bottom w:val="single" w:color="auto" w:sz="4" w:space="0"/>
              <w:right w:val="single" w:color="auto" w:sz="4" w:space="0"/>
            </w:tcBorders>
            <w:tcW w:w="2863" w:type="pct"/>
            <w:vAlign w:val="center"/>
            <w:textDirection w:val="lrTb"/>
            <w:noWrap w:val="false"/>
          </w:tcPr>
          <w:p>
            <w:pPr>
              <w:jc w:val="left"/>
              <w:spacing w:line="360" w:lineRule="auto"/>
              <w:rPr>
                <w:rFonts w:asciiTheme="minorEastAsia" w:hAnsiTheme="minorEastAsia" w:eastAsiaTheme="minorEastAsia"/>
                <w:sz w:val="21"/>
                <w:szCs w:val="21"/>
              </w:rPr>
            </w:pPr>
            <w:r/>
            <w:bookmarkStart w:id="95" w:name="JEDX"/>
            <w:r/>
            <w:bookmarkEnd w:id="95"/>
            <w:r/>
            <w:r/>
          </w:p>
        </w:tc>
      </w:tr>
    </w:tbl>
    <w:p>
      <w:r/>
      <w:r/>
    </w:p>
    <w:p>
      <w:pPr>
        <w:ind w:right="840" w:firstLine="5670"/>
        <w:rPr>
          <w:rFonts w:asciiTheme="minorEastAsia" w:hAnsiTheme="minorEastAsia" w:eastAsiaTheme="minorEastAsia"/>
        </w:rPr>
      </w:pPr>
      <w:r>
        <w:rPr>
          <w:rFonts w:hint="eastAsia" w:cs="宋体" w:asciiTheme="minorEastAsia" w:hAnsiTheme="minorEastAsia" w:eastAsiaTheme="minorEastAsia"/>
          <w:sz w:val="21"/>
          <w:szCs w:val="21"/>
        </w:rPr>
        <w:t xml:space="preserve">供应商名称（公章）： </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right="840" w:firstLine="5670"/>
        <w:rPr>
          <w:rFonts w:asciiTheme="minorEastAsia" w:hAnsiTheme="minorEastAsia" w:eastAsiaTheme="minorEastAsia"/>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ind w:firstLine="422"/>
        <w:spacing w:line="440" w:lineRule="exact"/>
        <w:rPr>
          <w:rFonts w:asciiTheme="minorEastAsia" w:hAnsiTheme="minorEastAsia" w:eastAsiaTheme="minorEastAsia"/>
          <w:b/>
          <w:sz w:val="21"/>
          <w:szCs w:val="21"/>
          <w:lang w:val="zh-CN"/>
        </w:rPr>
      </w:pPr>
      <w:r>
        <w:rPr>
          <w:rFonts w:hint="eastAsia" w:asciiTheme="minorEastAsia" w:hAnsiTheme="minorEastAsia" w:eastAsiaTheme="minorEastAsia"/>
          <w:b/>
          <w:sz w:val="21"/>
          <w:szCs w:val="21"/>
          <w:lang w:val="zh-CN"/>
        </w:rPr>
        <w:t xml:space="preserve">填写</w:t>
      </w:r>
      <w:r>
        <w:rPr>
          <w:rFonts w:hint="eastAsia" w:cs="微软雅黑" w:asciiTheme="minorEastAsia" w:hAnsiTheme="minorEastAsia" w:eastAsiaTheme="minorEastAsia"/>
          <w:b/>
          <w:sz w:val="21"/>
          <w:szCs w:val="21"/>
          <w:lang w:val="zh-CN"/>
        </w:rPr>
        <w:t xml:space="preserve">说</w:t>
      </w:r>
      <w:r>
        <w:rPr>
          <w:rFonts w:cs="MS Gothic" w:asciiTheme="minorEastAsia" w:hAnsiTheme="minorEastAsia" w:eastAsiaTheme="minorEastAsia"/>
          <w:b/>
          <w:sz w:val="21"/>
          <w:szCs w:val="21"/>
          <w:lang w:val="zh-CN"/>
        </w:rPr>
        <w:t xml:space="preserve">明：</w:t>
      </w:r>
      <w:r/>
    </w:p>
    <w:p>
      <w:pPr>
        <w:ind w:firstLine="422"/>
        <w:spacing w:line="440" w:lineRule="exact"/>
        <w:rPr>
          <w:rFonts w:asciiTheme="minorEastAsia" w:hAnsiTheme="minorEastAsia" w:eastAsiaTheme="minorEastAsia"/>
          <w:b/>
          <w:sz w:val="21"/>
          <w:szCs w:val="21"/>
          <w:lang w:val="zh-CN"/>
        </w:rPr>
      </w:pPr>
      <w:r>
        <w:rPr>
          <w:rFonts w:asciiTheme="minorEastAsia" w:hAnsiTheme="minorEastAsia" w:eastAsiaTheme="minorEastAsia"/>
          <w:b/>
          <w:sz w:val="21"/>
          <w:szCs w:val="21"/>
          <w:lang w:val="zh-CN"/>
        </w:rPr>
        <w:t xml:space="preserve">1</w:t>
      </w:r>
      <w:r>
        <w:rPr>
          <w:rFonts w:hint="eastAsia" w:asciiTheme="minorEastAsia" w:hAnsiTheme="minorEastAsia" w:eastAsiaTheme="minorEastAsia"/>
          <w:b/>
          <w:sz w:val="21"/>
          <w:szCs w:val="21"/>
          <w:lang w:val="zh-CN"/>
        </w:rPr>
        <w:t xml:space="preserve">、响</w:t>
      </w:r>
      <w:r>
        <w:rPr>
          <w:rFonts w:hint="eastAsia" w:cs="微软雅黑" w:asciiTheme="minorEastAsia" w:hAnsiTheme="minorEastAsia" w:eastAsiaTheme="minorEastAsia"/>
          <w:b/>
          <w:sz w:val="21"/>
          <w:szCs w:val="21"/>
          <w:lang w:val="zh-CN"/>
        </w:rPr>
        <w:t xml:space="preserve">应总报</w:t>
      </w:r>
      <w:r>
        <w:rPr>
          <w:rFonts w:cs="MS Gothic" w:asciiTheme="minorEastAsia" w:hAnsiTheme="minorEastAsia" w:eastAsiaTheme="minorEastAsia"/>
          <w:b/>
          <w:sz w:val="21"/>
          <w:szCs w:val="21"/>
          <w:lang w:val="zh-CN"/>
        </w:rPr>
        <w:t xml:space="preserve">价</w:t>
      </w:r>
      <w:r>
        <w:rPr>
          <w:rFonts w:hint="eastAsia" w:cs="微软雅黑" w:asciiTheme="minorEastAsia" w:hAnsiTheme="minorEastAsia" w:eastAsiaTheme="minorEastAsia"/>
          <w:b/>
          <w:sz w:val="21"/>
          <w:szCs w:val="21"/>
          <w:lang w:val="zh-CN"/>
        </w:rPr>
        <w:t xml:space="preserve">应</w:t>
      </w:r>
      <w:r>
        <w:rPr>
          <w:rFonts w:cs="MS Gothic" w:asciiTheme="minorEastAsia" w:hAnsiTheme="minorEastAsia" w:eastAsiaTheme="minorEastAsia"/>
          <w:b/>
          <w:sz w:val="21"/>
          <w:szCs w:val="21"/>
          <w:lang w:val="zh-CN"/>
        </w:rPr>
        <w:t xml:space="preserve">当与分项报价表各分</w:t>
      </w:r>
      <w:r>
        <w:rPr>
          <w:rFonts w:hint="eastAsia" w:cs="微软雅黑" w:asciiTheme="minorEastAsia" w:hAnsiTheme="minorEastAsia" w:eastAsiaTheme="minorEastAsia"/>
          <w:b/>
          <w:sz w:val="21"/>
          <w:szCs w:val="21"/>
          <w:lang w:val="zh-CN"/>
        </w:rPr>
        <w:t xml:space="preserve">项报</w:t>
      </w:r>
      <w:r>
        <w:rPr>
          <w:rFonts w:cs="MS Gothic" w:asciiTheme="minorEastAsia" w:hAnsiTheme="minorEastAsia" w:eastAsiaTheme="minorEastAsia"/>
          <w:b/>
          <w:sz w:val="21"/>
          <w:szCs w:val="21"/>
          <w:lang w:val="zh-CN"/>
        </w:rPr>
        <w:t xml:space="preserve">价合</w:t>
      </w:r>
      <w:r>
        <w:rPr>
          <w:rFonts w:hint="eastAsia" w:cs="微软雅黑" w:asciiTheme="minorEastAsia" w:hAnsiTheme="minorEastAsia" w:eastAsiaTheme="minorEastAsia"/>
          <w:b/>
          <w:sz w:val="21"/>
          <w:szCs w:val="21"/>
          <w:lang w:val="zh-CN"/>
        </w:rPr>
        <w:t xml:space="preserve">计</w:t>
      </w:r>
      <w:r>
        <w:rPr>
          <w:rFonts w:cs="MS Gothic" w:asciiTheme="minorEastAsia" w:hAnsiTheme="minorEastAsia" w:eastAsiaTheme="minorEastAsia"/>
          <w:b/>
          <w:sz w:val="21"/>
          <w:szCs w:val="21"/>
          <w:lang w:val="zh-CN"/>
        </w:rPr>
        <w:t xml:space="preserve">相等，如不相等，以响</w:t>
      </w:r>
      <w:r>
        <w:rPr>
          <w:rFonts w:hint="eastAsia" w:cs="微软雅黑" w:asciiTheme="minorEastAsia" w:hAnsiTheme="minorEastAsia" w:eastAsiaTheme="minorEastAsia"/>
          <w:b/>
          <w:sz w:val="21"/>
          <w:szCs w:val="21"/>
          <w:lang w:val="zh-CN"/>
        </w:rPr>
        <w:t xml:space="preserve">应报</w:t>
      </w:r>
      <w:r>
        <w:rPr>
          <w:rFonts w:cs="MS Gothic" w:asciiTheme="minorEastAsia" w:hAnsiTheme="minorEastAsia" w:eastAsiaTheme="minorEastAsia"/>
          <w:b/>
          <w:sz w:val="21"/>
          <w:szCs w:val="21"/>
          <w:lang w:val="zh-CN"/>
        </w:rPr>
        <w:t xml:space="preserve">价表</w:t>
      </w:r>
      <w:r>
        <w:rPr>
          <w:rFonts w:hint="eastAsia" w:cs="微软雅黑" w:asciiTheme="minorEastAsia" w:hAnsiTheme="minorEastAsia" w:eastAsiaTheme="minorEastAsia"/>
          <w:b/>
          <w:sz w:val="21"/>
          <w:szCs w:val="21"/>
          <w:lang w:val="zh-CN"/>
        </w:rPr>
        <w:t xml:space="preserve">为</w:t>
      </w:r>
      <w:r>
        <w:rPr>
          <w:rFonts w:cs="MS Gothic" w:asciiTheme="minorEastAsia" w:hAnsiTheme="minorEastAsia" w:eastAsiaTheme="minorEastAsia"/>
          <w:b/>
          <w:sz w:val="21"/>
          <w:szCs w:val="21"/>
          <w:lang w:val="zh-CN"/>
        </w:rPr>
        <w:t xml:space="preserve">准。</w:t>
      </w:r>
      <w:r/>
    </w:p>
    <w:p>
      <w:pPr>
        <w:ind w:firstLine="422"/>
        <w:spacing w:line="440" w:lineRule="exact"/>
        <w:rPr>
          <w:rFonts w:ascii="宋体" w:hAnsi="宋体" w:eastAsia="宋体"/>
          <w:sz w:val="21"/>
          <w:szCs w:val="21"/>
        </w:rPr>
      </w:pPr>
      <w:r>
        <w:rPr>
          <w:rFonts w:asciiTheme="minorEastAsia" w:hAnsiTheme="minorEastAsia" w:eastAsiaTheme="minorEastAsia"/>
          <w:b/>
          <w:sz w:val="21"/>
          <w:szCs w:val="21"/>
          <w:lang w:val="zh-CN"/>
        </w:rPr>
        <w:t xml:space="preserve">2</w:t>
      </w:r>
      <w:r>
        <w:rPr>
          <w:rFonts w:hint="eastAsia" w:asciiTheme="minorEastAsia" w:hAnsiTheme="minorEastAsia" w:eastAsiaTheme="minorEastAsia"/>
          <w:b/>
          <w:sz w:val="21"/>
          <w:szCs w:val="21"/>
          <w:lang w:val="zh-CN"/>
        </w:rPr>
        <w:t xml:space="preserve">、响</w:t>
      </w:r>
      <w:r>
        <w:rPr>
          <w:rFonts w:hint="eastAsia" w:cs="微软雅黑" w:asciiTheme="minorEastAsia" w:hAnsiTheme="minorEastAsia" w:eastAsiaTheme="minorEastAsia"/>
          <w:b/>
          <w:sz w:val="21"/>
          <w:szCs w:val="21"/>
          <w:lang w:val="zh-CN"/>
        </w:rPr>
        <w:t xml:space="preserve">应总报</w:t>
      </w:r>
      <w:r>
        <w:rPr>
          <w:rFonts w:cs="MS Gothic" w:asciiTheme="minorEastAsia" w:hAnsiTheme="minorEastAsia" w:eastAsiaTheme="minorEastAsia"/>
          <w:b/>
          <w:sz w:val="21"/>
          <w:szCs w:val="21"/>
          <w:lang w:val="zh-CN"/>
        </w:rPr>
        <w:t xml:space="preserve">价</w:t>
      </w:r>
      <w:r>
        <w:rPr>
          <w:rFonts w:hint="eastAsia" w:cs="微软雅黑" w:asciiTheme="minorEastAsia" w:hAnsiTheme="minorEastAsia" w:eastAsiaTheme="minorEastAsia"/>
          <w:b/>
          <w:sz w:val="21"/>
          <w:szCs w:val="21"/>
          <w:lang w:val="zh-CN"/>
        </w:rPr>
        <w:t xml:space="preserve">栏须</w:t>
      </w:r>
      <w:r>
        <w:rPr>
          <w:rFonts w:cs="MS Gothic" w:asciiTheme="minorEastAsia" w:hAnsiTheme="minorEastAsia" w:eastAsiaTheme="minorEastAsia"/>
          <w:b/>
          <w:sz w:val="21"/>
          <w:szCs w:val="21"/>
          <w:lang w:val="zh-CN"/>
        </w:rPr>
        <w:t xml:space="preserve">用大写金</w:t>
      </w:r>
      <w:r>
        <w:rPr>
          <w:rFonts w:hint="eastAsia" w:cs="微软雅黑" w:asciiTheme="minorEastAsia" w:hAnsiTheme="minorEastAsia" w:eastAsiaTheme="minorEastAsia"/>
          <w:b/>
          <w:sz w:val="21"/>
          <w:szCs w:val="21"/>
          <w:lang w:val="zh-CN"/>
        </w:rPr>
        <w:t xml:space="preserve">额</w:t>
      </w:r>
      <w:r>
        <w:rPr>
          <w:rFonts w:cs="MS Gothic" w:asciiTheme="minorEastAsia" w:hAnsiTheme="minorEastAsia" w:eastAsiaTheme="minorEastAsia"/>
          <w:b/>
          <w:sz w:val="21"/>
          <w:szCs w:val="21"/>
          <w:lang w:val="zh-CN"/>
        </w:rPr>
        <w:t xml:space="preserve">和小写金</w:t>
      </w:r>
      <w:r>
        <w:rPr>
          <w:rFonts w:hint="eastAsia" w:cs="微软雅黑" w:asciiTheme="minorEastAsia" w:hAnsiTheme="minorEastAsia" w:eastAsiaTheme="minorEastAsia"/>
          <w:b/>
          <w:sz w:val="21"/>
          <w:szCs w:val="21"/>
          <w:lang w:val="zh-CN"/>
        </w:rPr>
        <w:t xml:space="preserve">额</w:t>
      </w:r>
      <w:r>
        <w:rPr>
          <w:rFonts w:cs="MS Gothic" w:asciiTheme="minorEastAsia" w:hAnsiTheme="minorEastAsia" w:eastAsiaTheme="minorEastAsia"/>
          <w:b/>
          <w:sz w:val="21"/>
          <w:szCs w:val="21"/>
          <w:lang w:val="zh-CN"/>
        </w:rPr>
        <w:t xml:space="preserve">两种方式，</w:t>
      </w:r>
      <w:r>
        <w:rPr>
          <w:rFonts w:hint="eastAsia" w:cs="微软雅黑" w:asciiTheme="minorEastAsia" w:hAnsiTheme="minorEastAsia" w:eastAsiaTheme="minorEastAsia"/>
          <w:b/>
          <w:sz w:val="21"/>
          <w:szCs w:val="21"/>
          <w:lang w:val="zh-CN"/>
        </w:rPr>
        <w:t xml:space="preserve">报</w:t>
      </w:r>
      <w:r>
        <w:rPr>
          <w:rFonts w:cs="MS Gothic" w:asciiTheme="minorEastAsia" w:hAnsiTheme="minorEastAsia" w:eastAsiaTheme="minorEastAsia"/>
          <w:b/>
          <w:sz w:val="21"/>
          <w:szCs w:val="21"/>
          <w:lang w:val="zh-CN"/>
        </w:rPr>
        <w:t xml:space="preserve">价保留小数点后两位。</w:t>
      </w:r>
      <w:r/>
    </w:p>
    <w:p>
      <w:pPr>
        <w:rPr>
          <w:rFonts w:hAnsi="宋体" w:eastAsia="宋体"/>
          <w:sz w:val="24"/>
          <w:szCs w:val="24"/>
        </w:rPr>
      </w:pPr>
      <w:r>
        <w:br w:type="column"/>
      </w:r>
      <w:r/>
    </w:p>
    <w:p>
      <w:pPr>
        <w:numPr>
          <w:ilvl w:val="0"/>
          <w:numId w:val="6"/>
        </w:numPr>
        <w:spacing w:line="276" w:lineRule="auto"/>
        <w:tabs>
          <w:tab w:val="left" w:pos="567" w:leader="none"/>
        </w:tabs>
        <w:rPr>
          <w:rFonts w:hAnsi="宋体" w:eastAsia="宋体"/>
          <w:b/>
          <w:sz w:val="24"/>
          <w:szCs w:val="24"/>
        </w:rPr>
        <w:outlineLvl w:val="1"/>
      </w:pPr>
      <w:r>
        <w:rPr>
          <w:rFonts w:hint="eastAsia" w:asciiTheme="minorEastAsia" w:hAnsiTheme="minorEastAsia" w:eastAsiaTheme="minorEastAsia"/>
          <w:b/>
          <w:sz w:val="24"/>
          <w:szCs w:val="24"/>
        </w:rPr>
        <w:t xml:space="preserve">分项报价表</w:t>
      </w:r>
      <w:r/>
    </w:p>
    <w:p>
      <w:pPr>
        <w:jc w:val="left"/>
        <w:widowControl/>
        <w:rPr>
          <w:rFonts w:asciiTheme="minorEastAsia" w:hAnsiTheme="minorEastAsia" w:eastAsiaTheme="minorEastAsia"/>
        </w:rPr>
      </w:pPr>
      <w:r>
        <w:rPr>
          <w:rFonts w:asciiTheme="minorEastAsia" w:hAnsiTheme="minorEastAsia" w:eastAsiaTheme="minorEastAsia"/>
        </w:rPr>
      </w:r>
      <w:r/>
    </w:p>
    <w:p>
      <w:pPr>
        <w:jc w:val="center"/>
        <w:spacing w:line="273" w:lineRule="auto"/>
        <w:rPr>
          <w:rFonts w:ascii="宋体" w:hAnsi="宋体" w:eastAsia="宋体"/>
          <w:b/>
          <w:sz w:val="21"/>
          <w:szCs w:val="21"/>
        </w:rPr>
      </w:pPr>
      <w:r>
        <w:rPr>
          <w:rFonts w:hint="eastAsia" w:ascii="宋体" w:hAnsi="宋体" w:eastAsia="宋体"/>
          <w:b/>
          <w:sz w:val="21"/>
          <w:szCs w:val="21"/>
        </w:rPr>
        <w:t xml:space="preserve">分项报价表</w:t>
      </w:r>
      <w:r/>
    </w:p>
    <w:p>
      <w:pPr>
        <w:spacing w:line="273" w:lineRule="auto"/>
        <w:rPr>
          <w:rFonts w:ascii="宋体" w:hAnsi="宋体" w:eastAsia="宋体"/>
          <w:color w:val="000000"/>
          <w:sz w:val="21"/>
          <w:szCs w:val="21"/>
        </w:rPr>
      </w:pPr>
      <w:r>
        <w:rPr>
          <w:rFonts w:hint="eastAsia" w:ascii="宋体" w:hAnsi="宋体" w:eastAsia="宋体"/>
          <w:color w:val="000000"/>
          <w:sz w:val="21"/>
          <w:szCs w:val="21"/>
        </w:rPr>
        <w:t xml:space="preserve">项目名称：</w:t>
      </w:r>
      <w:r>
        <w:rPr>
          <w:rFonts w:hint="eastAsia" w:asciiTheme="minorEastAsia" w:hAnsiTheme="minorEastAsia" w:eastAsiaTheme="minorEastAsia"/>
          <w:sz w:val="21"/>
          <w:szCs w:val="21"/>
        </w:rPr>
        <w:t xml:space="preserve">无人机“综合飞一次”项目</w:t>
      </w:r>
      <w:r/>
    </w:p>
    <w:p>
      <w:pPr>
        <w:spacing w:line="273" w:lineRule="auto"/>
        <w:rPr>
          <w:rFonts w:ascii="宋体" w:hAnsi="宋体" w:eastAsia="宋体"/>
          <w:color w:val="000000"/>
          <w:sz w:val="21"/>
          <w:szCs w:val="21"/>
        </w:rPr>
      </w:pPr>
      <w:r>
        <w:rPr>
          <w:rFonts w:hint="eastAsia" w:ascii="宋体" w:hAnsi="宋体" w:eastAsia="宋体"/>
          <w:color w:val="000000"/>
          <w:sz w:val="21"/>
          <w:szCs w:val="21"/>
        </w:rPr>
        <w:t xml:space="preserve">采购编号：</w:t>
      </w:r>
      <w:r>
        <w:rPr>
          <w:rFonts w:ascii="宋体" w:hAnsi="宋体" w:eastAsia="宋体"/>
          <w:color w:val="000000"/>
          <w:sz w:val="21"/>
          <w:szCs w:val="21"/>
        </w:rPr>
        <w:t xml:space="preserve">JSZC-320506111-HYTZ-C2026-0001</w:t>
      </w:r>
      <w:r>
        <w:rPr>
          <w:rFonts w:hint="eastAsia" w:ascii="宋体" w:hAnsi="宋体" w:eastAsia="宋体"/>
          <w:color w:val="000000"/>
          <w:sz w:val="21"/>
          <w:szCs w:val="21"/>
        </w:rPr>
        <w:t xml:space="preserve">                          </w:t>
      </w:r>
      <w:r>
        <w:rPr>
          <w:rFonts w:hint="eastAsia" w:ascii="宋体" w:hAnsi="宋体" w:eastAsia="宋体"/>
          <w:bCs/>
          <w:sz w:val="21"/>
          <w:szCs w:val="21"/>
        </w:rPr>
        <w:t xml:space="preserve">价格单位：人民币.元</w:t>
      </w:r>
      <w:r/>
    </w:p>
    <w:tbl>
      <w:tblPr>
        <w:tblStyle w:val="11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660"/>
        <w:gridCol w:w="3307"/>
        <w:gridCol w:w="998"/>
        <w:gridCol w:w="998"/>
        <w:gridCol w:w="998"/>
        <w:gridCol w:w="1003"/>
      </w:tblGrid>
      <w:tr>
        <w:trPr>
          <w:trHeight w:val="20"/>
        </w:trPr>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序号</w:t>
            </w:r>
            <w:r/>
          </w:p>
        </w:tc>
        <w:tc>
          <w:tcPr>
            <w:tcW w:w="83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服务名称</w:t>
            </w:r>
            <w:r/>
          </w:p>
        </w:tc>
        <w:tc>
          <w:tcPr>
            <w:tcW w:w="1660" w:type="pct"/>
            <w:vAlign w:val="center"/>
            <w:textDirection w:val="lrTb"/>
            <w:noWrap w:val="false"/>
          </w:tcPr>
          <w:p>
            <w:pPr>
              <w:jc w:val="center"/>
              <w:spacing w:line="276" w:lineRule="auto"/>
              <w:rPr>
                <w:rFonts w:hint="eastAsia" w:ascii="宋体" w:hAnsi="宋体" w:eastAsia="宋体"/>
                <w:sz w:val="21"/>
                <w:szCs w:val="21"/>
              </w:rPr>
            </w:pPr>
            <w:r>
              <w:rPr>
                <w:rFonts w:hint="eastAsia" w:ascii="宋体" w:hAnsi="宋体" w:eastAsia="宋体"/>
                <w:sz w:val="21"/>
                <w:szCs w:val="21"/>
              </w:rPr>
              <w:t xml:space="preserve">品牌及型号（如有）</w:t>
            </w:r>
            <w:r/>
          </w:p>
        </w:tc>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单位</w:t>
            </w:r>
            <w:r/>
          </w:p>
        </w:tc>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数量</w:t>
            </w:r>
            <w:r/>
          </w:p>
        </w:tc>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单价</w:t>
            </w:r>
            <w:r/>
          </w:p>
        </w:tc>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总价</w:t>
            </w:r>
            <w:r/>
          </w:p>
        </w:tc>
      </w:tr>
      <w:tr>
        <w:trPr>
          <w:trHeight w:val="20"/>
        </w:trPr>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p>
        </w:tc>
        <w:tc>
          <w:tcPr>
            <w:tcW w:w="83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20"/>
        </w:trPr>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83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20"/>
        </w:trPr>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83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20"/>
        </w:trPr>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4</w:t>
            </w:r>
            <w:r/>
          </w:p>
        </w:tc>
        <w:tc>
          <w:tcPr>
            <w:tcW w:w="83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0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20"/>
        </w:trPr>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5</w:t>
            </w:r>
            <w:r/>
          </w:p>
        </w:tc>
        <w:tc>
          <w:tcPr>
            <w:tcW w:w="833" w:type="pct"/>
            <w:vAlign w:val="center"/>
            <w:textDirection w:val="lrTb"/>
            <w:noWrap w:val="false"/>
          </w:tcPr>
          <w:p>
            <w:pPr>
              <w:jc w:val="center"/>
              <w:spacing w:line="276" w:lineRule="auto"/>
              <w:rPr>
                <w:rFonts w:ascii="宋体" w:hAnsi="宋体" w:eastAsia="宋体"/>
                <w:sz w:val="21"/>
                <w:szCs w:val="21"/>
              </w:rPr>
            </w:pPr>
            <w:r/>
            <w:bookmarkStart w:id="96" w:name="OLE_LINK22"/>
            <w:r/>
            <w:bookmarkStart w:id="97" w:name="OLE_LINK24"/>
            <w:r>
              <w:rPr>
                <w:rFonts w:hint="eastAsia" w:ascii="宋体" w:hAnsi="宋体" w:eastAsia="宋体"/>
                <w:sz w:val="21"/>
                <w:szCs w:val="21"/>
              </w:rPr>
              <w:t xml:space="preserve">……</w:t>
            </w:r>
            <w:bookmarkEnd w:id="96"/>
            <w:r/>
            <w:bookmarkEnd w:id="97"/>
            <w:r/>
            <w:r/>
          </w:p>
        </w:tc>
        <w:tc>
          <w:tcPr>
            <w:tcW w:w="166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r>
      <w:tr>
        <w:trPr>
          <w:trHeight w:val="20"/>
        </w:trPr>
        <w:tc>
          <w:tcPr>
            <w:tcW w:w="50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合计</w:t>
            </w:r>
            <w:r/>
          </w:p>
        </w:tc>
        <w:tc>
          <w:tcPr>
            <w:tcW w:w="833" w:type="pct"/>
            <w:vAlign w:val="center"/>
            <w:textDirection w:val="lrTb"/>
            <w:noWrap w:val="false"/>
          </w:tcPr>
          <w:p>
            <w:pPr>
              <w:spacing w:line="276" w:lineRule="auto"/>
              <w:rPr>
                <w:rFonts w:hint="eastAsia" w:ascii="宋体" w:hAnsi="宋体" w:eastAsia="宋体"/>
                <w:sz w:val="21"/>
                <w:szCs w:val="21"/>
              </w:rPr>
            </w:pPr>
            <w:r>
              <w:rPr>
                <w:rFonts w:hint="eastAsia" w:ascii="宋体" w:hAnsi="宋体" w:eastAsia="宋体"/>
                <w:sz w:val="21"/>
                <w:szCs w:val="21"/>
              </w:rPr>
            </w:r>
            <w:r/>
          </w:p>
        </w:tc>
        <w:tc>
          <w:tcPr>
            <w:gridSpan w:val="5"/>
            <w:tcW w:w="366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金额小写</w:t>
            </w:r>
            <w:r>
              <w:rPr>
                <w:rFonts w:hint="eastAsia" w:ascii="宋体" w:hAnsi="宋体" w:eastAsia="宋体"/>
                <w:bCs/>
                <w:sz w:val="21"/>
                <w:szCs w:val="21"/>
                <w:u w:val="single"/>
              </w:rPr>
              <w:t xml:space="preserve">             </w:t>
            </w:r>
            <w:r>
              <w:rPr>
                <w:rFonts w:hint="eastAsia" w:ascii="宋体" w:hAnsi="宋体" w:eastAsia="宋体"/>
                <w:sz w:val="21"/>
                <w:szCs w:val="21"/>
              </w:rPr>
              <w:t xml:space="preserve">元</w:t>
            </w:r>
            <w:r/>
          </w:p>
        </w:tc>
      </w:tr>
    </w:tbl>
    <w:p>
      <w:pPr>
        <w:ind w:left="735" w:hanging="735"/>
        <w:spacing w:line="400" w:lineRule="exact"/>
        <w:rPr>
          <w:rFonts w:ascii="宋体" w:hAnsi="宋体" w:eastAsia="宋体"/>
          <w:sz w:val="21"/>
          <w:szCs w:val="21"/>
        </w:rPr>
      </w:pPr>
      <w:r>
        <w:rPr>
          <w:rFonts w:hint="eastAsia" w:ascii="宋体" w:hAnsi="宋体" w:eastAsia="宋体"/>
          <w:sz w:val="21"/>
          <w:szCs w:val="21"/>
        </w:rPr>
        <w:t xml:space="preserve">注：</w:t>
      </w:r>
      <w:r/>
    </w:p>
    <w:p>
      <w:pPr>
        <w:ind w:left="2"/>
        <w:spacing w:line="400" w:lineRule="exact"/>
        <w:rPr>
          <w:rFonts w:ascii="宋体" w:hAnsi="宋体" w:eastAsia="宋体"/>
          <w:sz w:val="21"/>
          <w:szCs w:val="21"/>
        </w:rPr>
      </w:pPr>
      <w:r>
        <w:rPr>
          <w:rFonts w:hint="eastAsia" w:ascii="宋体" w:hAnsi="宋体" w:eastAsia="宋体"/>
          <w:bCs/>
          <w:color w:val="000000"/>
          <w:sz w:val="21"/>
          <w:szCs w:val="21"/>
        </w:rPr>
        <w:t xml:space="preserve">1、供应商必须按“分项报价表”的格式详细报出响应总报价的各个组成部分的报价。</w:t>
      </w:r>
      <w:r/>
    </w:p>
    <w:p>
      <w:pPr>
        <w:jc w:val="left"/>
        <w:spacing w:line="400" w:lineRule="exact"/>
        <w:rPr>
          <w:rFonts w:ascii="宋体" w:hAnsi="宋体" w:eastAsia="宋体"/>
          <w:bCs/>
          <w:color w:val="000000"/>
          <w:sz w:val="21"/>
          <w:szCs w:val="21"/>
        </w:rPr>
      </w:pPr>
      <w:r>
        <w:rPr>
          <w:rFonts w:hint="eastAsia" w:ascii="宋体" w:hAnsi="宋体" w:eastAsia="宋体"/>
          <w:bCs/>
          <w:color w:val="000000"/>
          <w:sz w:val="21"/>
          <w:szCs w:val="21"/>
        </w:rPr>
        <w:t xml:space="preserve">2、“分项报价表”各分项报价合计应当与“响应报价表”相等，如不相等，响应总报价以“响应报价表”为准。</w:t>
      </w:r>
      <w:r/>
    </w:p>
    <w:p>
      <w:pPr>
        <w:ind w:right="-143" w:firstLine="3990"/>
        <w:rPr>
          <w:rFonts w:ascii="宋体" w:hAnsi="宋体" w:eastAsia="宋体"/>
          <w:sz w:val="21"/>
          <w:szCs w:val="21"/>
          <w:u w:val="single"/>
        </w:rPr>
      </w:pPr>
      <w:r>
        <w:rPr>
          <w:rFonts w:hint="eastAsia" w:ascii="宋体" w:hAnsi="宋体" w:eastAsia="宋体"/>
          <w:sz w:val="21"/>
          <w:szCs w:val="21"/>
        </w:rPr>
        <w:t xml:space="preserve">供应商名称（公章）：</w:t>
      </w:r>
      <w:r>
        <w:rPr>
          <w:rFonts w:hint="eastAsia" w:ascii="宋体" w:hAnsi="宋体" w:eastAsia="宋体"/>
          <w:sz w:val="21"/>
          <w:szCs w:val="21"/>
          <w:u w:val="single"/>
        </w:rPr>
        <w:t xml:space="preserve">                            </w:t>
      </w:r>
      <w:r/>
    </w:p>
    <w:p>
      <w:pPr>
        <w:ind w:right="-143" w:firstLine="3990"/>
        <w:rPr>
          <w:rFonts w:ascii="宋体" w:hAnsi="宋体" w:eastAsia="宋体"/>
          <w:sz w:val="21"/>
          <w:szCs w:val="21"/>
          <w:u w:val="single"/>
        </w:rPr>
      </w:pPr>
      <w:r>
        <w:rPr>
          <w:rFonts w:hint="eastAsia" w:ascii="宋体" w:hAnsi="宋体" w:eastAsia="宋体"/>
          <w:sz w:val="21"/>
          <w:szCs w:val="21"/>
        </w:rPr>
        <w:t xml:space="preserve">法定代表人或授权代表：（签字或盖章）：</w:t>
      </w:r>
      <w:r>
        <w:rPr>
          <w:rFonts w:hint="eastAsia" w:ascii="宋体" w:hAnsi="宋体" w:eastAsia="宋体"/>
          <w:sz w:val="21"/>
          <w:szCs w:val="21"/>
          <w:u w:val="single"/>
        </w:rPr>
        <w:t xml:space="preserve">           </w:t>
      </w:r>
      <w:r/>
    </w:p>
    <w:p>
      <w:pPr>
        <w:ind w:right="-143" w:firstLine="3990"/>
        <w:rPr>
          <w:rFonts w:ascii="宋体" w:hAnsi="宋体" w:eastAsia="宋体"/>
          <w:sz w:val="21"/>
          <w:szCs w:val="21"/>
          <w:u w:val="single"/>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pPr>
        <w:pStyle w:val="1042"/>
        <w:ind w:firstLine="0"/>
      </w:pPr>
      <w:r/>
      <w:r/>
    </w:p>
    <w:p>
      <w: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资格证明文件</w:t>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1、资格文件的声明函</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资格文件的声明函</w:t>
      </w:r>
      <w:r/>
    </w:p>
    <w:p>
      <w:pPr>
        <w:pStyle w:val="88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苏州昊怡通招标有限公司</w:t>
      </w:r>
      <w:r>
        <w:rPr>
          <w:rFonts w:hint="eastAsia" w:asciiTheme="minorEastAsia" w:hAnsiTheme="minorEastAsia" w:eastAsiaTheme="minorEastAsia"/>
          <w:sz w:val="21"/>
          <w:szCs w:val="21"/>
        </w:rPr>
        <w:t xml:space="preserve">：</w:t>
      </w:r>
      <w:r/>
    </w:p>
    <w:p>
      <w:pPr>
        <w:pStyle w:val="897"/>
        <w:ind w:firstLine="420"/>
        <w:jc w:val="left"/>
        <w:spacing w:line="360" w:lineRule="auto"/>
        <w:rPr>
          <w:rFonts w:asciiTheme="minorEastAsia" w:hAnsiTheme="minorEastAsia" w:eastAsiaTheme="minorEastAsia"/>
          <w:b/>
          <w:sz w:val="24"/>
          <w:szCs w:val="24"/>
        </w:rPr>
      </w:pPr>
      <w:r>
        <w:rPr>
          <w:rFonts w:hint="eastAsia" w:asciiTheme="minorEastAsia" w:hAnsiTheme="minorEastAsia" w:eastAsiaTheme="minorEastAsia"/>
          <w:sz w:val="21"/>
          <w:szCs w:val="21"/>
        </w:rPr>
        <w:t xml:space="preserve">本公司愿就由贵公司组织实施的编号为</w:t>
      </w:r>
      <w:r>
        <w:rPr>
          <w:rFonts w:asciiTheme="minorEastAsia" w:hAnsiTheme="minorEastAsia" w:eastAsiaTheme="minorEastAsia"/>
          <w:sz w:val="21"/>
          <w:szCs w:val="21"/>
          <w:u w:val="single"/>
        </w:rPr>
        <w:t xml:space="preserve">JSZC-320506111-HYTZ-C2026-0001</w:t>
      </w:r>
      <w:r>
        <w:rPr>
          <w:rFonts w:hint="eastAsia" w:asciiTheme="minorEastAsia" w:hAnsiTheme="minorEastAsia" w:eastAsiaTheme="minorEastAsia"/>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110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0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2、供应商情况表</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供应商情况表</w:t>
      </w:r>
      <w:r/>
    </w:p>
    <w:p>
      <w:pPr>
        <w:pStyle w:val="880"/>
        <w:ind w:firstLine="0"/>
        <w:spacing w:line="276"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单位名称（盖章）</w:t>
      </w:r>
      <w:r/>
    </w:p>
    <w:tbl>
      <w:tblPr>
        <w:tblStyle w:val="8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6"/>
        <w:gridCol w:w="3266"/>
        <w:gridCol w:w="1709"/>
        <w:gridCol w:w="2961"/>
      </w:tblGrid>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成立日期</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注册地址</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注册资金</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经营范围</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企业资质等级</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员工总人数</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资产总计</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营业收入</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2024 </w:t>
            </w:r>
            <w:r>
              <w:rPr>
                <w:rFonts w:hint="eastAsia" w:asciiTheme="minorEastAsia" w:hAnsiTheme="minorEastAsia" w:eastAsiaTheme="minorEastAsia"/>
                <w:sz w:val="21"/>
                <w:szCs w:val="21"/>
              </w:rPr>
              <w:t xml:space="preserve">年</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实现利润</w:t>
            </w:r>
            <w:r/>
          </w:p>
        </w:tc>
        <w:tc>
          <w:tcPr>
            <w:shd w:val="clear" w:color="auto" w:fill="auto"/>
            <w:tcW w:w="1639"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2024</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u w:val="single"/>
              </w:rPr>
              <w:t xml:space="preserve">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万元</w:t>
            </w:r>
            <w:r/>
          </w:p>
        </w:tc>
        <w:tc>
          <w:tcPr>
            <w:shd w:val="clear" w:color="auto" w:fill="auto"/>
            <w:tcW w:w="858"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营业面积（含厂房面积）</w:t>
            </w:r>
            <w:r/>
          </w:p>
        </w:tc>
        <w:tc>
          <w:tcPr>
            <w:shd w:val="clear" w:color="auto" w:fill="auto"/>
            <w:tcW w:w="1486"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平方米</w:t>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单位简历及内设机构情况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单位优势及特长</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商业信誉和健全的财务会计制度介绍</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履行合同所必需的设备和专业技术能力情况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依法缴纳税收和社会保障资金情况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参</w:t>
            </w:r>
            <w:r>
              <w:rPr>
                <w:rFonts w:hint="eastAsia" w:asciiTheme="minorEastAsia" w:hAnsiTheme="minorEastAsia" w:eastAsiaTheme="minorEastAsia"/>
                <w:sz w:val="21"/>
                <w:szCs w:val="21"/>
              </w:rPr>
              <w:t xml:space="preserve">与</w:t>
            </w:r>
            <w:r>
              <w:rPr>
                <w:rFonts w:asciiTheme="minorEastAsia" w:hAnsiTheme="minorEastAsia" w:eastAsiaTheme="minorEastAsia"/>
                <w:sz w:val="21"/>
                <w:szCs w:val="21"/>
              </w:rPr>
              <w:t xml:space="preserve">政府采购活动前三年内，在经营活动中</w:t>
            </w:r>
            <w:r>
              <w:rPr>
                <w:rFonts w:hint="eastAsia" w:asciiTheme="minorEastAsia" w:hAnsiTheme="minorEastAsia" w:eastAsiaTheme="minorEastAsia"/>
                <w:sz w:val="21"/>
                <w:szCs w:val="21"/>
              </w:rPr>
              <w:t xml:space="preserve">有无</w:t>
            </w:r>
            <w:r>
              <w:rPr>
                <w:rFonts w:asciiTheme="minorEastAsia" w:hAnsiTheme="minorEastAsia" w:eastAsiaTheme="minorEastAsia"/>
                <w:sz w:val="21"/>
                <w:szCs w:val="21"/>
              </w:rPr>
              <w:t xml:space="preserve">重大违法记录</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shd w:val="clear" w:color="auto" w:fill="auto"/>
            <w:tcW w:w="1017"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其他需要说明的情况</w:t>
            </w:r>
            <w:r/>
          </w:p>
        </w:tc>
        <w:tc>
          <w:tcPr>
            <w:gridSpan w:val="3"/>
            <w:shd w:val="clear" w:color="auto" w:fill="auto"/>
            <w:tcW w:w="3983" w:type="pct"/>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bCs/>
          <w:sz w:val="21"/>
          <w:szCs w:val="21"/>
        </w:rPr>
        <w:t xml:space="preserve">本页不够可另加页附后</w:t>
      </w:r>
      <w:r>
        <w:rPr>
          <w:rFonts w:hint="eastAsia" w:asciiTheme="minorEastAsia" w:hAnsiTheme="minorEastAsia" w:eastAsiaTheme="minorEastAsia"/>
          <w:sz w:val="21"/>
          <w:szCs w:val="21"/>
        </w:rPr>
        <w:t xml:space="preserve">）</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3</w:t>
      </w:r>
      <w:r>
        <w:rPr>
          <w:rFonts w:hint="eastAsia" w:asciiTheme="minorEastAsia" w:hAnsiTheme="minorEastAsia" w:eastAsiaTheme="minorEastAsia"/>
          <w:bCs w:val="0"/>
          <w:sz w:val="21"/>
          <w:szCs w:val="21"/>
        </w:rPr>
        <w:t xml:space="preserve">、具有独立承担民事责任的能力证明（包括法人或者其他组织的营业执照等证明文件，自然人的身份证明）</w:t>
      </w:r>
      <w:r/>
    </w:p>
    <w:p>
      <w:r/>
      <w:r/>
    </w:p>
    <w:p>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4</w:t>
      </w:r>
      <w:r>
        <w:rPr>
          <w:rFonts w:hint="eastAsia" w:asciiTheme="minorEastAsia" w:hAnsiTheme="minorEastAsia" w:eastAsiaTheme="minorEastAsia"/>
          <w:bCs w:val="0"/>
          <w:sz w:val="21"/>
          <w:szCs w:val="21"/>
        </w:rPr>
        <w:t xml:space="preserve">、具有良好的商业信誉和健全的财务会计制度证明（包括但不限于最近一期经审计的财务报告，其他组织、自然人及成立未满一年的法人应提供银行出具的资信证明）</w:t>
      </w:r>
      <w:r/>
    </w:p>
    <w:p>
      <w:r/>
      <w:r/>
    </w:p>
    <w:p>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5</w:t>
      </w:r>
      <w:r>
        <w:rPr>
          <w:rFonts w:hint="eastAsia" w:asciiTheme="minorEastAsia" w:hAnsiTheme="minorEastAsia" w:eastAsiaTheme="minorEastAsia"/>
          <w:bCs w:val="0"/>
          <w:sz w:val="21"/>
          <w:szCs w:val="21"/>
        </w:rPr>
        <w:t xml:space="preserve">、履行合同所必需的设备和专业技术能力（证明材料或承诺）</w:t>
      </w:r>
      <w:r/>
    </w:p>
    <w:p>
      <w:r/>
      <w:r/>
    </w:p>
    <w:p>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6</w:t>
      </w:r>
      <w:r>
        <w:rPr>
          <w:rFonts w:hint="eastAsia" w:asciiTheme="minorEastAsia" w:hAnsiTheme="minorEastAsia" w:eastAsiaTheme="minorEastAsia"/>
          <w:bCs w:val="0"/>
          <w:sz w:val="21"/>
          <w:szCs w:val="21"/>
        </w:rPr>
        <w:t xml:space="preserve">、</w:t>
      </w:r>
      <w:r>
        <w:rPr>
          <w:rFonts w:hint="eastAsia" w:cs="宋体" w:asciiTheme="minorEastAsia" w:hAnsiTheme="minorEastAsia" w:eastAsiaTheme="minorEastAsia"/>
          <w:sz w:val="21"/>
          <w:szCs w:val="21"/>
        </w:rPr>
        <w:t xml:space="preserve">有依法缴纳税收和社会保障资金的良好记录（响应截止时间前一年内至少一个月依法缴纳税收及缴纳社会保障资金的证明材料，如相关主管部门证明或银行代扣证明。供应商如依法享受缓缴、免缴税收、社会保障资金的应提供相关主管部门出具的证明材料）</w:t>
      </w:r>
      <w:r/>
    </w:p>
    <w:p>
      <w:r/>
      <w:bookmarkStart w:id="98" w:name="OLE_LINK14"/>
      <w:r/>
      <w:bookmarkStart w:id="99" w:name="OLE_LINK15"/>
      <w:r/>
      <w:r/>
    </w:p>
    <w:p>
      <w:r/>
      <w:bookmarkEnd w:id="98"/>
      <w:r/>
      <w:bookmarkEnd w:id="99"/>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7</w:t>
      </w:r>
      <w:r>
        <w:rPr>
          <w:rFonts w:hint="eastAsia" w:asciiTheme="minorEastAsia" w:hAnsiTheme="minorEastAsia" w:eastAsiaTheme="minorEastAsia"/>
          <w:bCs w:val="0"/>
          <w:sz w:val="21"/>
          <w:szCs w:val="21"/>
        </w:rPr>
        <w:t xml:space="preserve">、参加政府采购活动前三年内在经营活动中没有重大违法记录的书面声明函</w:t>
      </w:r>
      <w:r/>
    </w:p>
    <w:p>
      <w:r/>
      <w:r/>
    </w:p>
    <w:p>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hint="eastAsia" w:asciiTheme="minorEastAsia" w:hAnsiTheme="minorEastAsia" w:eastAsiaTheme="minorEastAsia"/>
          <w:bCs w:val="0"/>
          <w:sz w:val="21"/>
          <w:szCs w:val="21"/>
        </w:rPr>
        <w:t xml:space="preserve">8、特定资格要求（如有）</w:t>
      </w:r>
      <w:r/>
    </w:p>
    <w:p>
      <w:pPr>
        <w:rPr>
          <w:rFonts w:asciiTheme="minorEastAsia" w:hAnsiTheme="minorEastAsia" w:eastAsiaTheme="minorEastAsia"/>
        </w:rPr>
      </w:pPr>
      <w:r>
        <w:rPr>
          <w:rFonts w:asciiTheme="minorEastAsia" w:hAnsiTheme="minorEastAsia" w:eastAsiaTheme="minorEastAsia"/>
        </w:rPr>
      </w:r>
      <w:r/>
    </w:p>
    <w:p>
      <w:r>
        <w:br w:type="column"/>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9</w:t>
      </w:r>
      <w:r>
        <w:rPr>
          <w:rFonts w:hint="eastAsia" w:asciiTheme="minorEastAsia" w:hAnsiTheme="minorEastAsia" w:eastAsiaTheme="minorEastAsia"/>
          <w:bCs w:val="0"/>
          <w:sz w:val="21"/>
          <w:szCs w:val="21"/>
        </w:rPr>
        <w:t xml:space="preserve">、中小企业声明函（</w:t>
      </w:r>
      <w:r>
        <w:rPr>
          <w:rFonts w:asciiTheme="minorEastAsia" w:hAnsiTheme="minorEastAsia" w:eastAsiaTheme="minorEastAsia"/>
          <w:bCs w:val="0"/>
          <w:sz w:val="21"/>
          <w:szCs w:val="21"/>
        </w:rPr>
        <w:t xml:space="preserve">服务</w:t>
      </w:r>
      <w:r>
        <w:rPr>
          <w:rFonts w:hint="eastAsia" w:asciiTheme="minorEastAsia" w:hAnsiTheme="minorEastAsia" w:eastAsiaTheme="minorEastAsia"/>
          <w:bCs w:val="0"/>
          <w:sz w:val="21"/>
          <w:szCs w:val="21"/>
        </w:rPr>
        <w:t xml:space="preserve">）</w:t>
      </w:r>
      <w:r/>
    </w:p>
    <w:p>
      <w:pPr>
        <w:jc w:val="cente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中小企业声明函（服务）</w:t>
      </w:r>
      <w:r/>
    </w:p>
    <w:p>
      <w:pPr>
        <w:pStyle w:val="1107"/>
        <w:spacing w:line="276" w:lineRule="auto"/>
        <w:rPr>
          <w:rFonts w:cs="宋体" w:asciiTheme="minorEastAsia" w:hAnsiTheme="minorEastAsia" w:eastAsiaTheme="minorEastAsia"/>
          <w:sz w:val="21"/>
          <w:szCs w:val="21"/>
          <w:u w:val="single"/>
          <w:lang w:val="zh-CN"/>
        </w:rPr>
      </w:pPr>
      <w:r>
        <w:rPr>
          <w:rFonts w:hint="eastAsia" w:cs="宋体" w:asciiTheme="minorEastAsia" w:hAnsiTheme="minorEastAsia" w:eastAsiaTheme="minorEastAsia"/>
          <w:sz w:val="21"/>
          <w:szCs w:val="21"/>
          <w:u w:val="single"/>
          <w:lang w:val="zh-CN"/>
        </w:rPr>
        <w:t xml:space="preserve">苏州昊怡通招标有限公司_：</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本公司郑重声明，根据《政府采购促进中小企业发展管理办法》（财库﹝2020﹞46号）的规定，本公司参加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苏州市吴中区临湖镇人民政府</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w:t>
      </w:r>
      <w:r>
        <w:rPr>
          <w:rFonts w:hint="eastAsia" w:cs="宋体" w:asciiTheme="minorEastAsia" w:hAnsiTheme="minorEastAsia" w:eastAsiaTheme="minorEastAsia"/>
          <w:sz w:val="21"/>
          <w:szCs w:val="21"/>
          <w:u w:val="single"/>
        </w:rPr>
        <w:t xml:space="preserve">无人机“综合飞一次”项目</w:t>
      </w:r>
      <w:r>
        <w:rPr>
          <w:rFonts w:hint="eastAsia" w:cs="宋体" w:asciiTheme="minorEastAsia" w:hAnsiTheme="minorEastAsia" w:eastAsiaTheme="minorEastAsia"/>
          <w:sz w:val="21"/>
          <w:szCs w:val="21"/>
          <w:u w:val="single"/>
          <w:lang w:val="zh-CN"/>
        </w:rPr>
        <w:t xml:space="preserve">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w:t>
      </w:r>
      <w:r>
        <w:rPr>
          <w:rFonts w:hint="eastAsia" w:cs="宋体" w:asciiTheme="minorEastAsia" w:hAnsiTheme="minorEastAsia" w:eastAsiaTheme="minorEastAsia"/>
          <w:sz w:val="21"/>
          <w:szCs w:val="21"/>
          <w:u w:val="single"/>
        </w:rPr>
        <w:t xml:space="preserve">JSZC-320506111-HYTZ-C2026-0001</w:t>
      </w:r>
      <w:r>
        <w:rPr>
          <w:rFonts w:hint="eastAsia" w:cs="宋体" w:asciiTheme="minorEastAsia" w:hAnsiTheme="minorEastAsia" w:eastAsiaTheme="minorEastAsia"/>
          <w:sz w:val="21"/>
          <w:szCs w:val="21"/>
          <w:u w:val="single"/>
          <w:lang w:val="zh-CN"/>
        </w:rPr>
        <w:t xml:space="preserve">号</w:t>
      </w:r>
      <w:r>
        <w:rPr>
          <w:rFonts w:hint="eastAsia" w:cs="宋体" w:asciiTheme="minorEastAsia" w:hAnsiTheme="minorEastAsia" w:eastAsiaTheme="minorEastAsia"/>
          <w:sz w:val="21"/>
          <w:szCs w:val="21"/>
          <w:lang w:val="zh-CN"/>
        </w:rPr>
        <w:t xml:space="preserve">）项目</w:t>
      </w:r>
      <w:r>
        <w:rPr>
          <w:rFonts w:cs="宋体" w:asciiTheme="minorEastAsia" w:hAnsiTheme="minorEastAsia" w:eastAsiaTheme="minorEastAsia"/>
          <w:sz w:val="21"/>
          <w:szCs w:val="21"/>
          <w:lang w:val="zh-CN"/>
        </w:rPr>
        <w:t xml:space="preserve">采购活动，服务全部由符合政策要求的中小企业承接。相关企业的具体情况如下：</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1.</w:t>
      </w:r>
      <w:r>
        <w:rPr>
          <w:rFonts w:cs="宋体" w:asciiTheme="minorEastAsia" w:hAnsiTheme="minorEastAsia" w:eastAsiaTheme="minorEastAsia"/>
          <w:sz w:val="21"/>
          <w:szCs w:val="21"/>
          <w:u w:val="single"/>
          <w:lang w:val="zh-CN"/>
        </w:rPr>
        <w:t xml:space="preserve">（标的名称）</w:t>
      </w:r>
      <w:r>
        <w:rPr>
          <w:rFonts w:cs="宋体" w:asciiTheme="minorEastAsia" w:hAnsiTheme="minorEastAsia" w:eastAsiaTheme="minorEastAsia"/>
          <w:sz w:val="21"/>
          <w:szCs w:val="21"/>
          <w:lang w:val="zh-CN"/>
        </w:rPr>
        <w:t xml:space="preserve">，属于</w:t>
      </w:r>
      <w:r>
        <w:rPr>
          <w:rFonts w:cs="宋体" w:asciiTheme="minorEastAsia" w:hAnsiTheme="minorEastAsia" w:eastAsiaTheme="minorEastAsia"/>
          <w:sz w:val="21"/>
          <w:szCs w:val="21"/>
          <w:u w:val="single"/>
          <w:lang w:val="zh-CN"/>
        </w:rPr>
        <w:t xml:space="preserve">（</w:t>
      </w:r>
      <w:r>
        <w:rPr>
          <w:rFonts w:hint="eastAsia" w:asciiTheme="minorEastAsia" w:hAnsiTheme="minorEastAsia" w:eastAsiaTheme="minorEastAsia"/>
          <w:sz w:val="21"/>
          <w:szCs w:val="21"/>
          <w:u w:val="single"/>
        </w:rPr>
        <w:t xml:space="preserve">其他未列明行业</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；承建（承接）企业为</w:t>
      </w:r>
      <w:r>
        <w:rPr>
          <w:rFonts w:cs="宋体" w:asciiTheme="minorEastAsia" w:hAnsiTheme="minorEastAsia" w:eastAsiaTheme="minorEastAsia"/>
          <w:sz w:val="21"/>
          <w:szCs w:val="21"/>
          <w:u w:val="single"/>
          <w:lang w:val="zh-CN"/>
        </w:rPr>
        <w:t xml:space="preserve">（企业名称）</w:t>
      </w:r>
      <w:r>
        <w:rPr>
          <w:rFonts w:cs="宋体" w:asciiTheme="minorEastAsia" w:hAnsiTheme="minorEastAsia" w:eastAsiaTheme="minorEastAsia"/>
          <w:sz w:val="21"/>
          <w:szCs w:val="21"/>
          <w:lang w:val="zh-CN"/>
        </w:rPr>
        <w:t xml:space="preserve">，从业人员</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人，营业收入为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万元，资产总额为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万元，属于</w:t>
      </w:r>
      <w:r>
        <w:rPr>
          <w:rFonts w:cs="宋体" w:asciiTheme="minorEastAsia" w:hAnsiTheme="minorEastAsia" w:eastAsiaTheme="minorEastAsia"/>
          <w:sz w:val="21"/>
          <w:szCs w:val="21"/>
          <w:u w:val="single"/>
          <w:lang w:val="zh-CN"/>
        </w:rPr>
        <w:t xml:space="preserve">（中型企业、小型企业、微型企业）</w:t>
      </w:r>
      <w:r>
        <w:rPr>
          <w:rFonts w:cs="宋体" w:asciiTheme="minorEastAsia" w:hAnsiTheme="minorEastAsia" w:eastAsiaTheme="minorEastAsia"/>
          <w:sz w:val="21"/>
          <w:szCs w:val="21"/>
          <w:lang w:val="zh-CN"/>
        </w:rPr>
        <w:t xml:space="preserve">；</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2.</w:t>
      </w:r>
      <w:r>
        <w:rPr>
          <w:rFonts w:cs="宋体" w:asciiTheme="minorEastAsia" w:hAnsiTheme="minorEastAsia" w:eastAsiaTheme="minorEastAsia"/>
          <w:sz w:val="21"/>
          <w:szCs w:val="21"/>
          <w:u w:val="single"/>
          <w:lang w:val="zh-CN"/>
        </w:rPr>
        <w:t xml:space="preserve">（标的名称）</w:t>
      </w:r>
      <w:r>
        <w:rPr>
          <w:rFonts w:cs="宋体" w:asciiTheme="minorEastAsia" w:hAnsiTheme="minorEastAsia" w:eastAsiaTheme="minorEastAsia"/>
          <w:sz w:val="21"/>
          <w:szCs w:val="21"/>
          <w:lang w:val="zh-CN"/>
        </w:rPr>
        <w:t xml:space="preserve">，属于</w:t>
      </w:r>
      <w:r>
        <w:rPr>
          <w:rFonts w:cs="宋体" w:asciiTheme="minorEastAsia" w:hAnsiTheme="minorEastAsia" w:eastAsiaTheme="minorEastAsia"/>
          <w:sz w:val="21"/>
          <w:szCs w:val="21"/>
          <w:u w:val="single"/>
          <w:lang w:val="zh-CN"/>
        </w:rPr>
        <w:t xml:space="preserve">（</w:t>
      </w:r>
      <w:r>
        <w:rPr>
          <w:rFonts w:hint="eastAsia" w:asciiTheme="minorEastAsia" w:hAnsiTheme="minorEastAsia" w:eastAsiaTheme="minorEastAsia"/>
          <w:sz w:val="21"/>
          <w:szCs w:val="21"/>
          <w:u w:val="single"/>
        </w:rPr>
        <w:t xml:space="preserve">其他未列明行业</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；承建（承接）企业为</w:t>
      </w:r>
      <w:r>
        <w:rPr>
          <w:rFonts w:cs="宋体" w:asciiTheme="minorEastAsia" w:hAnsiTheme="minorEastAsia" w:eastAsiaTheme="minorEastAsia"/>
          <w:sz w:val="21"/>
          <w:szCs w:val="21"/>
          <w:u w:val="single"/>
          <w:lang w:val="zh-CN"/>
        </w:rPr>
        <w:t xml:space="preserve">（企业名称）</w:t>
      </w:r>
      <w:r>
        <w:rPr>
          <w:rFonts w:cs="宋体" w:asciiTheme="minorEastAsia" w:hAnsiTheme="minorEastAsia" w:eastAsiaTheme="minorEastAsia"/>
          <w:sz w:val="21"/>
          <w:szCs w:val="21"/>
          <w:lang w:val="zh-CN"/>
        </w:rPr>
        <w:t xml:space="preserve">，从业人员</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人，营业收入为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万元，资产总额为</w:t>
      </w:r>
      <w:r>
        <w:rPr>
          <w:rFonts w:cs="宋体" w:asciiTheme="minorEastAsia" w:hAnsiTheme="minorEastAsia" w:eastAsiaTheme="minorEastAsia"/>
          <w:sz w:val="21"/>
          <w:szCs w:val="21"/>
          <w:u w:val="single"/>
          <w:lang w:val="zh-CN"/>
        </w:rPr>
        <w:t xml:space="preserve">      </w:t>
      </w:r>
      <w:r>
        <w:rPr>
          <w:rFonts w:cs="宋体" w:asciiTheme="minorEastAsia" w:hAnsiTheme="minorEastAsia" w:eastAsiaTheme="minorEastAsia"/>
          <w:sz w:val="21"/>
          <w:szCs w:val="21"/>
          <w:lang w:val="zh-CN"/>
        </w:rPr>
        <w:t xml:space="preserve">万元，属于</w:t>
      </w:r>
      <w:r>
        <w:rPr>
          <w:rFonts w:cs="宋体" w:asciiTheme="minorEastAsia" w:hAnsiTheme="minorEastAsia" w:eastAsiaTheme="minorEastAsia"/>
          <w:sz w:val="21"/>
          <w:szCs w:val="21"/>
          <w:u w:val="single"/>
          <w:lang w:val="zh-CN"/>
        </w:rPr>
        <w:t xml:space="preserve">（中型企业、小型企业、微型企业）；</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本企业对上述声明内容的真实性负责。如有虚假，将依法承担相应责任。</w:t>
      </w:r>
      <w:r/>
    </w:p>
    <w:p>
      <w:pPr>
        <w:ind w:firstLine="4620"/>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firstLine="4620"/>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p>
    <w:p>
      <w:pPr>
        <w:ind w:firstLine="4620"/>
        <w:spacing w:line="276" w:lineRule="auto"/>
        <w:rPr>
          <w:rStyle w:val="1142"/>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Style w:val="1141"/>
          <w:rFonts w:hint="default" w:asciiTheme="minorEastAsia" w:hAnsiTheme="minorEastAsia" w:eastAsiaTheme="minorEastAsia"/>
          <w:b/>
          <w:sz w:val="18"/>
          <w:szCs w:val="18"/>
        </w:rPr>
      </w:pPr>
      <w:r>
        <w:rPr>
          <w:rFonts w:hint="default" w:asciiTheme="minorEastAsia" w:hAnsiTheme="minorEastAsia" w:eastAsiaTheme="minorEastAsia"/>
          <w:b/>
          <w:sz w:val="18"/>
          <w:szCs w:val="18"/>
        </w:rPr>
      </w:r>
      <w:r/>
    </w:p>
    <w:p>
      <w:pPr>
        <w:jc w:val="left"/>
        <w:spacing w:line="276" w:lineRule="auto"/>
        <w:rPr>
          <w:rFonts w:asciiTheme="minorEastAsia" w:hAnsiTheme="minorEastAsia" w:eastAsiaTheme="minorEastAsia"/>
          <w:sz w:val="20"/>
        </w:rPr>
      </w:pPr>
      <w:r/>
      <w:bookmarkStart w:id="100" w:name="OLE_LINK10"/>
      <w:r>
        <w:rPr>
          <w:rFonts w:hint="eastAsia" w:asciiTheme="minorEastAsia" w:hAnsiTheme="minorEastAsia" w:eastAsiaTheme="minorEastAsia"/>
          <w:b/>
          <w:color w:val="000000"/>
          <w:sz w:val="20"/>
        </w:rPr>
        <w:t xml:space="preserve">备注：</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1、从业人员、营业收入、资产总额填报上一年度数据，无上一年度数据的新成立企业可不填报；</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2、若一个采购项目或采购包中含有多个货物采购标的的，则每个采购标的均应由中小企业制造。声明函中未包含采购的所有货物的制造商的，视为未提供中小企业声明函，不享受中小企业扶持政策；</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3、若供应商提供的“中小企业声明函”内容不实的，属于提供虚假材料谋取中标、成交，依照《中华人民共和国政府采购法》等国家有关规定追究相应责任；</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t xml:space="preserve">5、根据本磋商文件的规定，响应文件中的电子签章视为供应商对本声明进行了签署盖章并承担相应责任。</w:t>
      </w:r>
      <w:bookmarkEnd w:id="100"/>
      <w:r/>
      <w:r/>
    </w:p>
    <w:p>
      <w:pPr>
        <w:jc w:val="left"/>
        <w:spacing w:line="276" w:lineRule="auto"/>
        <w:rPr>
          <w:rFonts w:asciiTheme="minorEastAsia" w:hAnsiTheme="minorEastAsia" w:eastAsiaTheme="minorEastAsia"/>
          <w:b/>
          <w:color w:val="000000"/>
          <w:sz w:val="18"/>
          <w:szCs w:val="18"/>
        </w:rPr>
      </w:pPr>
      <w:r>
        <w:rPr>
          <w:rFonts w:asciiTheme="minorEastAsia" w:hAnsiTheme="minorEastAsia" w:eastAsiaTheme="minorEastAsia"/>
          <w:b/>
          <w:color w:val="000000"/>
          <w:sz w:val="18"/>
          <w:szCs w:val="18"/>
        </w:rPr>
      </w:r>
      <w:r/>
    </w:p>
    <w:p>
      <w:pPr>
        <w:jc w:val="left"/>
        <w:spacing w:line="276" w:lineRule="auto"/>
        <w:rPr>
          <w:rFonts w:asciiTheme="minorEastAsia" w:hAnsiTheme="minorEastAsia" w:eastAsiaTheme="minorEastAsia"/>
          <w:b/>
          <w:color w:val="000000"/>
          <w:sz w:val="18"/>
          <w:szCs w:val="18"/>
        </w:rPr>
      </w:pPr>
      <w:r>
        <w:rPr>
          <w:rFonts w:hint="eastAsia" w:asciiTheme="minorEastAsia" w:hAnsiTheme="minorEastAsia" w:eastAsiaTheme="minorEastAsia"/>
          <w:b/>
          <w:color w:val="000000"/>
          <w:sz w:val="18"/>
          <w:szCs w:val="18"/>
        </w:rPr>
        <w:t xml:space="preserve">附：中小企业划型标准规定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（一）农、林、牧、渔业。</w:t>
      </w:r>
      <w:r>
        <w:rPr>
          <w:rFonts w:hint="eastAsia" w:asciiTheme="minorEastAsia" w:hAnsiTheme="minorEastAsia" w:eastAsiaTheme="minorEastAsia"/>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（二）工业。</w:t>
      </w:r>
      <w:r>
        <w:rPr>
          <w:rFonts w:hint="eastAsia" w:asciiTheme="minorEastAsia" w:hAnsiTheme="minorEastAsia" w:eastAsiaTheme="minorEastAsia"/>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（三）建筑业。</w:t>
      </w:r>
      <w:r>
        <w:rPr>
          <w:rFonts w:hint="eastAsia" w:asciiTheme="minorEastAsia" w:hAnsiTheme="minorEastAsia" w:eastAsiaTheme="minorEastAsia"/>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（四）批发业。</w:t>
      </w:r>
      <w:r>
        <w:rPr>
          <w:rFonts w:hint="eastAsia" w:asciiTheme="minorEastAsia" w:hAnsiTheme="minorEastAsia" w:eastAsiaTheme="minorEastAsia"/>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（五）零售业。</w:t>
      </w:r>
      <w:r>
        <w:rPr>
          <w:rFonts w:hint="eastAsia" w:asciiTheme="minorEastAsia" w:hAnsiTheme="minorEastAsia" w:eastAsiaTheme="minorEastAsia"/>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（六）交通运输业。</w:t>
      </w:r>
      <w:r>
        <w:rPr>
          <w:rFonts w:hint="eastAsia" w:asciiTheme="minorEastAsia" w:hAnsiTheme="minorEastAsia" w:eastAsiaTheme="minorEastAsia"/>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（七）仓储业。</w:t>
      </w:r>
      <w:r>
        <w:rPr>
          <w:rFonts w:hint="eastAsia" w:asciiTheme="minorEastAsia" w:hAnsiTheme="minorEastAsia" w:eastAsiaTheme="minorEastAsia"/>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（八）邮政业。</w:t>
      </w:r>
      <w:r>
        <w:rPr>
          <w:rFonts w:hint="eastAsia" w:asciiTheme="minorEastAsia" w:hAnsiTheme="minorEastAsia" w:eastAsiaTheme="minorEastAsia"/>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（九）住宿业。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（十）餐饮业。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（十一）信息传输业。</w:t>
      </w:r>
      <w:r>
        <w:rPr>
          <w:rFonts w:hint="eastAsia" w:asciiTheme="minorEastAsia" w:hAnsiTheme="minorEastAsia" w:eastAsiaTheme="minorEastAsia"/>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（十二）软件和信息技术服务业。</w:t>
      </w:r>
      <w:r>
        <w:rPr>
          <w:rFonts w:hint="eastAsia" w:asciiTheme="minorEastAsia" w:hAnsiTheme="minorEastAsia" w:eastAsiaTheme="minorEastAsia"/>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（十三）房地产开发经营。</w:t>
      </w:r>
      <w:r>
        <w:rPr>
          <w:rFonts w:hint="eastAsia" w:asciiTheme="minorEastAsia" w:hAnsiTheme="minorEastAsia" w:eastAsiaTheme="minorEastAsia"/>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（十四）物业管理。</w:t>
      </w:r>
      <w:r>
        <w:rPr>
          <w:rFonts w:hint="eastAsia" w:asciiTheme="minorEastAsia" w:hAnsiTheme="minorEastAsia" w:eastAsiaTheme="minorEastAsia"/>
          <w:color w:val="000000"/>
          <w:sz w:val="18"/>
          <w:szCs w:val="18"/>
        </w:rPr>
        <w:t xml:space="preserve">从业人员1000人以下或营业收入5000万元以下的为中小微型企业。其中，从业人员</w:t>
      </w:r>
      <w:r/>
    </w:p>
    <w:p>
      <w:pPr>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（十五）租赁和商务服务业。</w:t>
      </w:r>
      <w:r>
        <w:rPr>
          <w:rFonts w:hint="eastAsia" w:asciiTheme="minorEastAsia" w:hAnsiTheme="minorEastAsia" w:eastAsiaTheme="minorEastAsia"/>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0"/>
        <w:jc w:val="left"/>
        <w:spacing w:line="276" w:lineRule="auto"/>
        <w:rPr>
          <w:rFonts w:asciiTheme="minorEastAsia" w:hAnsiTheme="minorEastAsia" w:eastAsiaTheme="minorEastAsia"/>
          <w:color w:val="000000"/>
          <w:sz w:val="18"/>
          <w:szCs w:val="18"/>
        </w:rPr>
      </w:pPr>
      <w:r>
        <w:rPr>
          <w:rFonts w:hint="eastAsia" w:asciiTheme="minorEastAsia" w:hAnsiTheme="minorEastAsia" w:eastAsiaTheme="minorEastAsia"/>
          <w:b/>
          <w:color w:val="000000"/>
          <w:sz w:val="18"/>
          <w:szCs w:val="18"/>
        </w:rPr>
        <w:t xml:space="preserve">（十六）其他未列明行业。</w:t>
      </w:r>
      <w:r>
        <w:rPr>
          <w:rFonts w:hint="eastAsia" w:asciiTheme="minorEastAsia" w:hAnsiTheme="minorEastAsia" w:eastAsiaTheme="minorEastAsia"/>
          <w:color w:val="000000"/>
          <w:sz w:val="18"/>
          <w:szCs w:val="18"/>
        </w:rPr>
        <w:t xml:space="preserve">从业人员300人以下的为中小微型企业。其中，从业人员100人及以上的为中型企业；从业人员10人及以上的为小型企业；从业人员10人以下的为微型企业。</w:t>
      </w:r>
      <w:r/>
    </w:p>
    <w:p>
      <w:r/>
      <w:r/>
    </w:p>
    <w:p>
      <w:pPr>
        <w:spacing w:line="276" w:lineRule="auto"/>
        <w:rPr>
          <w:rFonts w:asciiTheme="minorEastAsia" w:hAnsiTheme="minorEastAsia" w:eastAsiaTheme="minorEastAsia"/>
        </w:rPr>
      </w:pPr>
      <w:r>
        <w:rPr>
          <w:rFonts w:asciiTheme="minorEastAsia" w:hAnsiTheme="minorEastAsia" w:eastAsiaTheme="minorEastAsia"/>
          <w:sz w:val="18"/>
          <w:szCs w:val="18"/>
        </w:rPr>
        <w:br w:type="column"/>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10</w:t>
      </w:r>
      <w:r>
        <w:rPr>
          <w:rFonts w:hint="eastAsia" w:asciiTheme="minorEastAsia" w:hAnsiTheme="minorEastAsia" w:eastAsiaTheme="minorEastAsia"/>
          <w:bCs w:val="0"/>
          <w:sz w:val="21"/>
          <w:szCs w:val="21"/>
        </w:rPr>
        <w:t xml:space="preserve">、残疾人福利性单位声明函</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残疾人福利性单位声明函</w:t>
      </w:r>
      <w:r/>
    </w:p>
    <w:p>
      <w:pPr>
        <w:pStyle w:val="880"/>
        <w:ind w:firstLine="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苏州昊怡通招标有限公司</w:t>
      </w:r>
      <w:r>
        <w:rPr>
          <w:rFonts w:hint="eastAsia" w:asciiTheme="minorEastAsia" w:hAnsiTheme="minorEastAsia" w:eastAsiaTheme="minorEastAsia"/>
          <w:sz w:val="21"/>
          <w:szCs w:val="21"/>
        </w:rPr>
        <w:t xml:space="preserve">：</w:t>
      </w:r>
      <w:r/>
    </w:p>
    <w:p>
      <w:pPr>
        <w:ind w:firstLine="420"/>
        <w:spacing w:line="360" w:lineRule="auto"/>
        <w:rPr>
          <w:rFonts w:ascii="宋体" w:hAnsi="宋体" w:eastAsia="宋体" w:cs="宋体"/>
          <w:sz w:val="21"/>
          <w:szCs w:val="21"/>
          <w:lang w:val="zh-CN"/>
        </w:rPr>
      </w:pPr>
      <w:r>
        <w:rPr>
          <w:rFonts w:hint="eastAsia" w:cs="宋体" w:asciiTheme="minorEastAsia" w:hAnsiTheme="minorEastAsia" w:eastAsiaTheme="minorEastAsia"/>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苏州市吴中区临湖镇人民政府</w:t>
      </w:r>
      <w:r>
        <w:rPr>
          <w:rFonts w:cs="宋体" w:asciiTheme="minorEastAsia" w:hAnsiTheme="minorEastAsia" w:eastAsiaTheme="minorEastAsia"/>
          <w:sz w:val="21"/>
          <w:szCs w:val="21"/>
          <w:u w:val="single"/>
          <w:lang w:val="zh-CN"/>
        </w:rPr>
        <w:t xml:space="preserve">）</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项目名称：无人机“综合飞一次”项目及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编号：JSZC-320506111-HYTZ-C2026-0001号</w:t>
      </w:r>
      <w:r>
        <w:rPr>
          <w:rFonts w:hint="eastAsia" w:cs="宋体" w:asciiTheme="minorEastAsia" w:hAnsiTheme="minorEastAsia" w:eastAsiaTheme="minorEastAsia"/>
          <w:sz w:val="21"/>
          <w:szCs w:val="21"/>
          <w:lang w:val="zh-CN"/>
        </w:rPr>
        <w:t xml:space="preserve">）</w:t>
      </w:r>
      <w:bookmarkStart w:id="101" w:name="OLE_LINK112"/>
      <w:r/>
      <w:bookmarkStart w:id="102" w:name="OLE_LINK113"/>
      <w:r>
        <w:rPr>
          <w:rFonts w:hint="eastAsia" w:cs="宋体" w:asciiTheme="minorEastAsia" w:hAnsiTheme="minorEastAsia" w:eastAsiaTheme="minorEastAsia"/>
          <w:sz w:val="21"/>
          <w:szCs w:val="21"/>
          <w:lang w:val="zh-CN"/>
        </w:rPr>
        <w:t xml:space="preserve">采购活动</w:t>
      </w:r>
      <w:r>
        <w:rPr>
          <w:rFonts w:hint="eastAsia" w:ascii="宋体" w:hAnsi="宋体" w:eastAsia="宋体" w:cs="宋体"/>
          <w:sz w:val="21"/>
          <w:szCs w:val="21"/>
          <w:lang w:val="zh-CN"/>
        </w:rPr>
        <w:t xml:space="preserve">提供由本单位提供服务。</w:t>
      </w:r>
      <w:bookmarkEnd w:id="101"/>
      <w:r/>
      <w:bookmarkEnd w:id="102"/>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本单位对上述声明的真实性负责。如有虚假，将依法承担相应责任。</w:t>
      </w:r>
      <w:r/>
    </w:p>
    <w:p>
      <w:pPr>
        <w:pStyle w:val="110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0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11</w:t>
      </w:r>
      <w:r>
        <w:rPr>
          <w:rFonts w:hint="eastAsia" w:asciiTheme="minorEastAsia" w:hAnsiTheme="minorEastAsia" w:eastAsiaTheme="minorEastAsia"/>
          <w:bCs w:val="0"/>
          <w:sz w:val="21"/>
          <w:szCs w:val="21"/>
        </w:rPr>
        <w:t xml:space="preserve">、监狱企业声明函</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监狱企业声明函</w:t>
      </w:r>
      <w:r/>
    </w:p>
    <w:p>
      <w:pPr>
        <w:pStyle w:val="880"/>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苏州昊怡通招标有限公司</w:t>
      </w:r>
      <w:r>
        <w:rPr>
          <w:rFonts w:hint="eastAsia" w:asciiTheme="minorEastAsia" w:hAnsiTheme="minorEastAsia" w:eastAsiaTheme="minorEastAsia"/>
          <w:sz w:val="21"/>
          <w:szCs w:val="21"/>
        </w:rPr>
        <w:t xml:space="preserve">：</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cs="宋体" w:asciiTheme="minorEastAsia" w:hAnsiTheme="minorEastAsia" w:eastAsiaTheme="minorEastAsia"/>
          <w:sz w:val="21"/>
          <w:szCs w:val="21"/>
          <w:u w:val="single"/>
          <w:lang w:val="zh-CN"/>
        </w:rPr>
        <w:t xml:space="preserve">苏州市吴中区临湖镇人民政府</w:t>
      </w:r>
      <w:r>
        <w:rPr>
          <w:rFonts w:cs="宋体" w:asciiTheme="minorEastAsia" w:hAnsiTheme="minorEastAsia" w:eastAsiaTheme="minorEastAsia"/>
          <w:sz w:val="21"/>
          <w:szCs w:val="21"/>
          <w:lang w:val="zh-CN"/>
        </w:rPr>
        <w:t xml:space="preserve">的</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项目名称：无人机“综合飞一次”项目及</w:t>
      </w:r>
      <w:r>
        <w:rPr>
          <w:rFonts w:hint="eastAsia" w:cs="宋体" w:asciiTheme="minorEastAsia" w:hAnsiTheme="minorEastAsia" w:eastAsiaTheme="minorEastAsia"/>
          <w:sz w:val="21"/>
          <w:szCs w:val="21"/>
          <w:u w:val="single"/>
        </w:rPr>
        <w:t xml:space="preserve">采购</w:t>
      </w:r>
      <w:r>
        <w:rPr>
          <w:rFonts w:hint="eastAsia" w:cs="宋体" w:asciiTheme="minorEastAsia" w:hAnsiTheme="minorEastAsia" w:eastAsiaTheme="minorEastAsia"/>
          <w:sz w:val="21"/>
          <w:szCs w:val="21"/>
          <w:u w:val="single"/>
          <w:lang w:val="zh-CN"/>
        </w:rPr>
        <w:t xml:space="preserve">编号：JSZC-320506111-HYTZ-C2026-0001号</w:t>
      </w:r>
      <w:r>
        <w:rPr>
          <w:rFonts w:hint="eastAsia" w:cs="宋体" w:asciiTheme="minorEastAsia" w:hAnsiTheme="minorEastAsia" w:eastAsiaTheme="minorEastAsia"/>
          <w:sz w:val="21"/>
          <w:szCs w:val="21"/>
          <w:lang w:val="zh-CN"/>
        </w:rPr>
        <w:t xml:space="preserve">）采购活动由本单位提供服务。</w:t>
      </w:r>
      <w:r/>
    </w:p>
    <w:p>
      <w:pPr>
        <w:ind w:firstLine="420"/>
        <w:spacing w:line="360"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本单位对上述声明的真实性负责。如有虚假，将依法承担相应责任。</w:t>
      </w:r>
      <w:r/>
    </w:p>
    <w:p>
      <w:pPr>
        <w:pStyle w:val="110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0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lang w:val="zh-CN"/>
        </w:rPr>
      </w:pPr>
      <w:r>
        <w:rPr>
          <w:lang w:val="zh-CN"/>
        </w:rPr>
      </w:r>
      <w:r/>
    </w:p>
    <w:p>
      <w:pPr>
        <w:rPr>
          <w:rFonts w:asciiTheme="minorEastAsia" w:hAnsiTheme="minorEastAsia" w:eastAsiaTheme="minorEastAsia"/>
        </w:rPr>
      </w:pPr>
      <w:r>
        <w:rPr>
          <w:rFonts w:asciiTheme="minorEastAsia" w:hAnsiTheme="minorEastAsia" w:eastAsiaTheme="minorEastAsia"/>
        </w:rPr>
        <w:br w:type="column"/>
      </w:r>
      <w:r/>
    </w:p>
    <w:p>
      <w:pPr>
        <w:pStyle w:val="871"/>
        <w:jc w:val="left"/>
        <w:spacing w:before="0" w:after="0" w:line="276" w:lineRule="auto"/>
        <w:tabs>
          <w:tab w:val="left" w:pos="3570" w:leader="none"/>
        </w:tabs>
        <w:rPr>
          <w:rFonts w:asciiTheme="minorEastAsia" w:hAnsiTheme="minorEastAsia" w:eastAsiaTheme="minorEastAsia"/>
          <w:bCs w:val="0"/>
          <w:sz w:val="21"/>
          <w:szCs w:val="21"/>
        </w:rPr>
      </w:pPr>
      <w:r>
        <w:rPr>
          <w:rFonts w:asciiTheme="minorEastAsia" w:hAnsiTheme="minorEastAsia" w:eastAsiaTheme="minorEastAsia"/>
          <w:bCs w:val="0"/>
          <w:sz w:val="21"/>
          <w:szCs w:val="21"/>
        </w:rPr>
        <w:t xml:space="preserve">12</w:t>
      </w:r>
      <w:r>
        <w:rPr>
          <w:rFonts w:hint="eastAsia" w:asciiTheme="minorEastAsia" w:hAnsiTheme="minorEastAsia" w:eastAsiaTheme="minorEastAsia"/>
          <w:bCs w:val="0"/>
          <w:sz w:val="21"/>
          <w:szCs w:val="21"/>
        </w:rPr>
        <w:t xml:space="preserve">、响应保证承诺书</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响应保证承诺书</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致：</w:t>
      </w:r>
      <w:r>
        <w:rPr>
          <w:rFonts w:hint="eastAsia" w:asciiTheme="minorEastAsia" w:hAnsiTheme="minorEastAsia" w:eastAsiaTheme="minorEastAsia"/>
          <w:sz w:val="21"/>
          <w:szCs w:val="21"/>
          <w:u w:val="single"/>
        </w:rPr>
        <w:t xml:space="preserve">苏州昊怡通招标有限公司</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我单位自愿参加</w:t>
      </w:r>
      <w:r>
        <w:rPr>
          <w:rFonts w:cs="宋体" w:asciiTheme="minorEastAsia" w:hAnsiTheme="minorEastAsia" w:eastAsiaTheme="minorEastAsia"/>
          <w:sz w:val="21"/>
          <w:szCs w:val="21"/>
          <w:u w:val="single"/>
          <w:lang w:val="zh-CN"/>
        </w:rPr>
        <w:t xml:space="preserve">（</w:t>
      </w:r>
      <w:r>
        <w:rPr>
          <w:rFonts w:hint="eastAsia" w:cs="宋体" w:asciiTheme="minorEastAsia" w:hAnsiTheme="minorEastAsia" w:eastAsiaTheme="minorEastAsia"/>
          <w:sz w:val="21"/>
          <w:szCs w:val="21"/>
          <w:u w:val="single"/>
          <w:lang w:val="zh-CN"/>
        </w:rPr>
        <w:t xml:space="preserve">项目名称：无人机“综合飞一次”项目及采购编号：JSZC-320506111-HYTZ-C2026-0001号）</w:t>
      </w:r>
      <w:r>
        <w:rPr>
          <w:rFonts w:hint="eastAsia" w:asciiTheme="minorEastAsia" w:hAnsiTheme="minorEastAsia" w:eastAsiaTheme="minorEastAsia"/>
          <w:sz w:val="21"/>
          <w:szCs w:val="21"/>
        </w:rPr>
        <w:t xml:space="preserve">的响应，并做出如下承诺：</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一、除不可抗力外，我单位如果发生以下行为，将在行为发生的10个工作日内，向贵方支付本磋商文件公布的预算金额（或最高限价）的2%作为违约赔偿金（数量不确定的单价采购须约定具体金额）。</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1、自响应截止时间至本项目发布成交公告为止，撤销响应；</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2、成交后不依法与采购人签订合同；</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3、成交后不按本磋商文件规定向采购人提交履约保证金；</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4、成交后不按本磋商文件规定向贵方缴纳采购代理费。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二、我单位知晓上述行为的法律后果，承认本承诺书作为贵方要求我单位履行违约赔偿义务的依据作用。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供应商名称（公章）：</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电话：</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传真：</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电子邮件：</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邮编：</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法定代表人或代理人(签字或签章)：</w:t>
      </w:r>
      <w:r>
        <w:rPr>
          <w:rFonts w:asciiTheme="minorEastAsia" w:hAnsiTheme="minorEastAsia" w:eastAsiaTheme="minorEastAsia"/>
          <w:sz w:val="21"/>
          <w:szCs w:val="21"/>
          <w:u w:val="single"/>
        </w:rPr>
        <w:t xml:space="preserve">           </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bookmarkStart w:id="103" w:name="_Toc475522895"/>
      <w:r>
        <w:rPr>
          <w:rFonts w:hint="eastAsia" w:asciiTheme="minorEastAsia" w:hAnsiTheme="minorEastAsia" w:eastAsiaTheme="minorEastAsia"/>
          <w:b/>
          <w:sz w:val="24"/>
          <w:szCs w:val="24"/>
        </w:rPr>
        <w:t xml:space="preserve">技术要求偏离表</w:t>
      </w:r>
      <w:bookmarkEnd w:id="103"/>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技术要求偏离表</w:t>
      </w:r>
      <w:r/>
    </w:p>
    <w:p>
      <w:pPr>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项目名称：</w:t>
      </w:r>
      <w:r>
        <w:rPr>
          <w:rFonts w:hint="eastAsia" w:asciiTheme="minorEastAsia" w:hAnsiTheme="minorEastAsia" w:eastAsiaTheme="minorEastAsia"/>
          <w:sz w:val="21"/>
          <w:szCs w:val="21"/>
        </w:rPr>
        <w:t xml:space="preserve">无人机“综合飞一次”项目</w:t>
      </w:r>
      <w:r/>
    </w:p>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采购编号：</w:t>
      </w:r>
      <w:r>
        <w:rPr>
          <w:rFonts w:hint="eastAsia" w:asciiTheme="minorEastAsia" w:hAnsiTheme="minorEastAsia" w:eastAsiaTheme="minorEastAsia"/>
          <w:sz w:val="21"/>
          <w:szCs w:val="21"/>
          <w:lang w:val="zh-CN"/>
        </w:rPr>
        <w:t xml:space="preserve">JSZC-320506111-HYTZ-C2026-0001</w:t>
      </w:r>
      <w:r/>
    </w:p>
    <w:tbl>
      <w:tblPr>
        <w:tblStyle w:val="879"/>
        <w:tblW w:w="101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126"/>
        <w:gridCol w:w="2098"/>
        <w:gridCol w:w="2693"/>
        <w:gridCol w:w="1479"/>
        <w:gridCol w:w="865"/>
      </w:tblGrid>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212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项目</w:t>
            </w:r>
            <w:r>
              <w:rPr>
                <w:rFonts w:hint="eastAsia" w:asciiTheme="minorEastAsia" w:hAnsiTheme="minorEastAsia" w:eastAsiaTheme="minorEastAsia"/>
                <w:sz w:val="21"/>
                <w:szCs w:val="21"/>
              </w:rPr>
              <w:t xml:space="preserve">内容</w:t>
            </w:r>
            <w:r/>
          </w:p>
        </w:tc>
        <w:tc>
          <w:tcPr>
            <w:tcW w:w="2098"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采购服务要求</w:t>
            </w:r>
            <w:r/>
          </w:p>
        </w:tc>
        <w:tc>
          <w:tcPr>
            <w:tcW w:w="2693"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响应服务要求说明</w:t>
            </w:r>
            <w:r/>
          </w:p>
        </w:tc>
        <w:tc>
          <w:tcPr>
            <w:tcW w:w="1479"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w:t>
            </w:r>
            <w:r>
              <w:rPr>
                <w:rFonts w:asciiTheme="minorEastAsia" w:hAnsiTheme="minorEastAsia" w:eastAsiaTheme="minorEastAsia"/>
                <w:sz w:val="21"/>
                <w:szCs w:val="21"/>
              </w:rPr>
              <w:t xml:space="preserve">说明</w:t>
            </w:r>
            <w:r/>
          </w:p>
        </w:tc>
        <w:tc>
          <w:tcPr>
            <w:tcW w:w="865"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项目背景</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服务目标及</w:t>
            </w:r>
            <w:r>
              <w:rPr>
                <w:rFonts w:asciiTheme="minorEastAsia" w:hAnsiTheme="minorEastAsia" w:eastAsiaTheme="minorEastAsia"/>
                <w:sz w:val="21"/>
                <w:szCs w:val="21"/>
              </w:rPr>
              <w:t xml:space="preserve">要求</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服务</w:t>
            </w:r>
            <w:r>
              <w:rPr>
                <w:rFonts w:hint="eastAsia" w:asciiTheme="minorEastAsia" w:hAnsiTheme="minorEastAsia" w:eastAsiaTheme="minorEastAsia"/>
                <w:sz w:val="21"/>
                <w:szCs w:val="21"/>
              </w:rPr>
              <w:t xml:space="preserve">清单</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2126" w:type="dxa"/>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w:t>
            </w:r>
            <w:r>
              <w:rPr>
                <w:rFonts w:asciiTheme="minorEastAsia" w:hAnsiTheme="minorEastAsia" w:eastAsiaTheme="minorEastAsia"/>
                <w:sz w:val="21"/>
                <w:szCs w:val="21"/>
              </w:rPr>
              <w:t xml:space="preserve">技术要求</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2126" w:type="dxa"/>
            <w:vAlign w:val="center"/>
            <w:textDirection w:val="lrTb"/>
            <w:noWrap w:val="false"/>
          </w:tcPr>
          <w:p>
            <w:pP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支撑技术要求</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c>
          <w:tcPr>
            <w:tcW w:w="2126" w:type="dxa"/>
            <w:vAlign w:val="center"/>
            <w:textDirection w:val="lrTb"/>
            <w:noWrap w:val="false"/>
          </w:tcPr>
          <w:p>
            <w:pPr>
              <w:spacing w:line="276"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项目服务保障要求</w:t>
            </w:r>
            <w:r/>
          </w:p>
        </w:tc>
        <w:tc>
          <w:tcPr>
            <w:tcW w:w="2098"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693"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479"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65" w:type="dxa"/>
            <w:vAlign w:val="center"/>
            <w:textDirection w:val="lrTb"/>
            <w:noWrap w:val="false"/>
          </w:tcPr>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300"/>
        </w:trPr>
        <w:tc>
          <w:tcPr>
            <w:tcW w:w="84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2126"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2098"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2693"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1479"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p>
        </w:tc>
        <w:tc>
          <w:tcPr>
            <w:tcW w:w="865" w:type="dxa"/>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spacing w:line="276" w:lineRule="auto"/>
        <w:rPr>
          <w:rFonts w:cs="宋体" w:asciiTheme="minorEastAsia" w:hAnsiTheme="minorEastAsia" w:eastAsiaTheme="minorEastAsia"/>
          <w:b/>
          <w:sz w:val="21"/>
          <w:szCs w:val="21"/>
        </w:rPr>
      </w:pPr>
      <w:r/>
      <w:bookmarkStart w:id="104" w:name="OLE_LINK11"/>
      <w:r>
        <w:rPr>
          <w:rFonts w:hint="eastAsia" w:cs="宋体" w:asciiTheme="minorEastAsia" w:hAnsiTheme="minorEastAsia" w:eastAsiaTheme="minorEastAsia"/>
          <w:b/>
          <w:sz w:val="21"/>
          <w:szCs w:val="21"/>
        </w:rPr>
        <w:t xml:space="preserve">备注：</w:t>
      </w:r>
      <w:bookmarkEnd w:id="104"/>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供应商提交的响应文件中与磋商文件的技术部分的要求有不同时，应在本表中把磋商文件要求与实际响应内容逐项对应列出，并在“偏离说明”项下填写以下内容：优于的，填写“正偏离”；符合的，填写“无偏离”；未在上表中说明的，将被认为完全响应磋商文件的规定。</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2.若事项较多，供应商可根据响应内容的实际情况另纸说明。</w:t>
      </w:r>
      <w:r/>
    </w:p>
    <w:p>
      <w:pPr>
        <w:ind w:right="-143" w:firstLine="3675"/>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right="-143" w:firstLine="3675"/>
        <w:spacing w:line="276" w:lineRule="auto"/>
        <w:rPr>
          <w:rFonts w:cs="宋体" w:asciiTheme="minorEastAsia" w:hAnsiTheme="minorEastAsia" w:eastAsiaTheme="minorEastAsia"/>
          <w:sz w:val="21"/>
          <w:szCs w:val="21"/>
          <w:u w:val="single"/>
        </w:rPr>
      </w:pPr>
      <w:r>
        <w:rPr>
          <w:rFonts w:hint="eastAsia" w:cs="宋体" w:asciiTheme="minorEastAsia" w:hAnsiTheme="minorEastAsia" w:eastAsiaTheme="minorEastAsia"/>
          <w:sz w:val="21"/>
          <w:szCs w:val="21"/>
        </w:rPr>
        <w:t xml:space="preserve">法定代表人或授权代表（签字或</w:t>
      </w:r>
      <w:r>
        <w:rPr>
          <w:rFonts w:cs="宋体" w:asciiTheme="minorEastAsia" w:hAnsiTheme="minorEastAsia" w:eastAsiaTheme="minorEastAsia"/>
          <w:sz w:val="21"/>
          <w:szCs w:val="21"/>
        </w:rPr>
        <w:t xml:space="preserve">盖章</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p>
    <w:p>
      <w:pPr>
        <w:ind w:right="-143" w:firstLine="3675"/>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年</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月</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日</w:t>
      </w:r>
      <w:r/>
    </w:p>
    <w:p>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bookmarkStart w:id="105" w:name="_Toc496011926"/>
      <w:r>
        <w:rPr>
          <w:rFonts w:hint="eastAsia" w:asciiTheme="minorEastAsia" w:hAnsiTheme="minorEastAsia" w:eastAsiaTheme="minorEastAsia"/>
          <w:b/>
          <w:sz w:val="24"/>
          <w:szCs w:val="24"/>
        </w:rPr>
        <w:t xml:space="preserve">商务条款偏离表</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商务条款偏离</w:t>
      </w:r>
      <w:r>
        <w:rPr>
          <w:rFonts w:asciiTheme="minorEastAsia" w:hAnsiTheme="minorEastAsia" w:eastAsiaTheme="minorEastAsia"/>
          <w:b/>
          <w:sz w:val="24"/>
          <w:szCs w:val="24"/>
        </w:rPr>
        <w:t xml:space="preserve">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项目名称：无人机“综合飞一次”项目</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JSZC-320506111-HYTZ-C2026-0001</w:t>
      </w:r>
      <w:r/>
    </w:p>
    <w:tbl>
      <w:tblPr>
        <w:tblStyle w:val="879"/>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229"/>
        <w:gridCol w:w="2805"/>
        <w:gridCol w:w="2805"/>
        <w:gridCol w:w="1277"/>
      </w:tblGrid>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磋商文件要求</w:t>
            </w:r>
            <w:r/>
          </w:p>
        </w:tc>
        <w:tc>
          <w:tcPr>
            <w:tcW w:w="2805"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供应商响应</w:t>
            </w:r>
            <w:r/>
          </w:p>
        </w:tc>
        <w:tc>
          <w:tcPr>
            <w:tcW w:w="2805"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w:t>
            </w:r>
            <w:r/>
          </w:p>
        </w:tc>
        <w:tc>
          <w:tcPr>
            <w:tcW w:w="1277"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履行期限</w:t>
            </w:r>
            <w:r/>
          </w:p>
        </w:tc>
        <w:tc>
          <w:tcPr>
            <w:tcW w:w="2805" w:type="dxa"/>
            <w:vAlign w:val="center"/>
            <w:textDirection w:val="lrTb"/>
            <w:noWrap w:val="false"/>
          </w:tcPr>
          <w:p>
            <w:pP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805" w:type="dxa"/>
            <w:vAlign w:val="center"/>
            <w:textDirection w:val="lrTb"/>
            <w:noWrap w:val="false"/>
          </w:tcPr>
          <w:p>
            <w:pP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7" w:type="dxa"/>
            <w:vAlign w:val="center"/>
            <w:textDirection w:val="lrTb"/>
            <w:noWrap w:val="false"/>
          </w:tcPr>
          <w:p>
            <w:pP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2</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支付步骤</w:t>
            </w:r>
            <w:r/>
          </w:p>
        </w:tc>
        <w:tc>
          <w:tcPr>
            <w:tcW w:w="2805" w:type="dxa"/>
            <w:vAlign w:val="center"/>
            <w:textDirection w:val="lrTb"/>
            <w:noWrap w:val="false"/>
          </w:tcPr>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2805" w:type="dxa"/>
            <w:vAlign w:val="center"/>
            <w:textDirection w:val="lrTb"/>
            <w:noWrap w:val="false"/>
          </w:tcPr>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1277" w:type="dxa"/>
            <w:vAlign w:val="center"/>
            <w:textDirection w:val="lrTb"/>
            <w:noWrap w:val="false"/>
          </w:tcPr>
          <w:p>
            <w:pP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违约责任</w:t>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7"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4</w:t>
            </w:r>
            <w:r/>
          </w:p>
        </w:tc>
        <w:tc>
          <w:tcPr>
            <w:tcW w:w="2229" w:type="dxa"/>
            <w:vAlign w:val="center"/>
            <w:textDirection w:val="lrTb"/>
            <w:noWrap w:val="false"/>
          </w:tcPr>
          <w:p>
            <w:pPr>
              <w:jc w:val="center"/>
              <w:rPr>
                <w:rFonts w:asciiTheme="minorEastAsia" w:hAnsiTheme="minorEastAsia" w:eastAsiaTheme="minorEastAsia"/>
                <w:sz w:val="21"/>
                <w:szCs w:val="21"/>
              </w:rPr>
            </w:pPr>
            <w:r>
              <w:rPr>
                <w:rFonts w:hint="eastAsia" w:ascii="宋体" w:hAnsi="宋体" w:eastAsia="宋体"/>
                <w:sz w:val="21"/>
                <w:szCs w:val="21"/>
              </w:rPr>
              <w:t xml:space="preserve">其他合同条款</w:t>
            </w:r>
            <w:r/>
          </w:p>
        </w:tc>
        <w:tc>
          <w:tcPr>
            <w:tcW w:w="2805"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2805"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c>
          <w:tcPr>
            <w:tcW w:w="1277"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r>
            <w:r/>
          </w:p>
        </w:tc>
      </w:tr>
      <w:tr>
        <w:trPr>
          <w:jc w:val="center"/>
          <w:trHeight w:val="413" w:hRule="exact"/>
        </w:trPr>
        <w:tc>
          <w:tcPr>
            <w:tcW w:w="846"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w:t>
            </w:r>
            <w:r/>
          </w:p>
        </w:tc>
        <w:tc>
          <w:tcPr>
            <w:tcW w:w="2229" w:type="dxa"/>
            <w:vAlign w:val="center"/>
            <w:textDirection w:val="lrTb"/>
            <w:noWrap w:val="false"/>
          </w:tcPr>
          <w:p>
            <w:pPr>
              <w:jc w:val="center"/>
              <w:rPr>
                <w:rFonts w:asciiTheme="minorEastAsia" w:hAnsiTheme="minorEastAsia" w:eastAsiaTheme="minorEastAsia"/>
                <w:sz w:val="21"/>
                <w:szCs w:val="21"/>
                <w:lang w:val="zh-CN"/>
              </w:rPr>
            </w:pPr>
            <w:r>
              <w:rPr>
                <w:rFonts w:asciiTheme="minorEastAsia" w:hAnsiTheme="minorEastAsia" w:eastAsiaTheme="minorEastAsia"/>
                <w:sz w:val="21"/>
                <w:szCs w:val="21"/>
                <w:lang w:val="zh-CN"/>
              </w:rPr>
              <w:t xml:space="preserve">……</w:t>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c>
          <w:tcPr>
            <w:tcW w:w="2805"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c>
          <w:tcPr>
            <w:tcW w:w="1277" w:type="dxa"/>
            <w:vAlign w:val="center"/>
            <w:textDirection w:val="lrTb"/>
            <w:noWrap w:val="false"/>
          </w:tcPr>
          <w:p>
            <w:pPr>
              <w:jc w:val="center"/>
              <w:rPr>
                <w:rFonts w:asciiTheme="minorEastAsia" w:hAnsiTheme="minorEastAsia" w:eastAsiaTheme="minorEastAsia"/>
                <w:sz w:val="21"/>
                <w:szCs w:val="21"/>
              </w:rPr>
            </w:pPr>
            <w:r>
              <w:rPr>
                <w:rFonts w:asciiTheme="minorEastAsia" w:hAnsiTheme="minorEastAsia" w:eastAsiaTheme="minorEastAsia"/>
                <w:sz w:val="21"/>
                <w:szCs w:val="21"/>
                <w:lang w:val="zh-CN"/>
              </w:rPr>
              <w:t xml:space="preserve">……</w:t>
            </w:r>
            <w:r/>
          </w:p>
        </w:tc>
      </w:tr>
    </w:tbl>
    <w:p>
      <w:pPr>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备注：</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供应商提交的响应文件（除技术要求部分）与磋商文件要求有不同时，应在本表中把磋商文件要求与实际响应内容逐项对应列出，并在“偏离说明”项下填写以下内容：优于的，填写“正偏离”；符合的，填写“无偏离”；低于的，填写“负偏离”；未在上表中说明的，将被认为完全响应磋商文件的规定。</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2.若事项较多，供应商可根据响应内容的实际情况另纸说明</w:t>
      </w:r>
      <w:r/>
    </w:p>
    <w:p>
      <w:pPr>
        <w:pStyle w:val="110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0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技术和服务方案</w:t>
      </w:r>
      <w:r/>
    </w:p>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w:t>
      </w:r>
      <w:r>
        <w:rPr>
          <w:rFonts w:asciiTheme="minorEastAsia" w:hAnsiTheme="minorEastAsia" w:eastAsiaTheme="minorEastAsia"/>
          <w:sz w:val="21"/>
          <w:szCs w:val="21"/>
        </w:rPr>
        <w:t xml:space="preserve">根据自身实际情况</w:t>
      </w:r>
      <w:r>
        <w:rPr>
          <w:rFonts w:hint="eastAsia" w:asciiTheme="minorEastAsia" w:hAnsiTheme="minorEastAsia" w:eastAsiaTheme="minorEastAsia"/>
          <w:sz w:val="21"/>
          <w:szCs w:val="21"/>
        </w:rPr>
        <w:t xml:space="preserve">针对</w:t>
      </w:r>
      <w:r>
        <w:rPr>
          <w:rFonts w:asciiTheme="minorEastAsia" w:hAnsiTheme="minorEastAsia" w:eastAsiaTheme="minorEastAsia"/>
          <w:sz w:val="21"/>
          <w:szCs w:val="21"/>
        </w:rPr>
        <w:t xml:space="preserve">本项目制作技术和</w:t>
      </w:r>
      <w:r>
        <w:rPr>
          <w:rFonts w:hint="eastAsia" w:asciiTheme="minorEastAsia" w:hAnsiTheme="minorEastAsia" w:eastAsiaTheme="minorEastAsia"/>
          <w:sz w:val="21"/>
          <w:szCs w:val="21"/>
        </w:rPr>
        <w:t xml:space="preserve">服务方案</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bookmarkEnd w:id="105"/>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asciiTheme="minorEastAsia" w:hAnsiTheme="minorEastAsia" w:eastAsiaTheme="minorEastAsia"/>
          <w:b/>
          <w:sz w:val="24"/>
          <w:szCs w:val="24"/>
        </w:rPr>
        <w:t xml:space="preserve">人员服务能力</w:t>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项目组人员配备一览表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项目名称：无人机“综合飞一次”项目</w:t>
      </w:r>
      <w:r/>
    </w:p>
    <w:p>
      <w:pP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JSZC-320506111-HYTZ-C2026-0001</w:t>
      </w:r>
      <w:r>
        <w:rPr>
          <w:rFonts w:cs="宋体" w:asciiTheme="minorEastAsia" w:hAnsiTheme="minorEastAsia" w:eastAsiaTheme="minorEastAsia"/>
          <w:sz w:val="21"/>
          <w:szCs w:val="21"/>
        </w:rPr>
        <w:t xml:space="preserve"> </w:t>
      </w:r>
      <w:r/>
    </w:p>
    <w:tbl>
      <w:tblPr>
        <w:tblStyle w:val="87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829"/>
        <w:gridCol w:w="1458"/>
        <w:gridCol w:w="1915"/>
        <w:gridCol w:w="962"/>
        <w:gridCol w:w="1124"/>
        <w:gridCol w:w="1809"/>
      </w:tblGrid>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0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0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0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0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学历学位</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0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专业</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0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职称</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03"/>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相关资格</w:t>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pStyle w:val="903"/>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ind w:firstLine="105"/>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1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73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6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c>
          <w:tcPr>
            <w:tcBorders>
              <w:top w:val="single" w:color="auto" w:sz="4" w:space="0"/>
              <w:left w:val="single" w:color="auto" w:sz="4" w:space="0"/>
              <w:bottom w:val="single" w:color="auto" w:sz="4" w:space="0"/>
              <w:right w:val="single" w:color="auto" w:sz="4" w:space="0"/>
            </w:tcBorders>
            <w:tcW w:w="90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w:t>
            </w:r>
            <w:r/>
          </w:p>
        </w:tc>
      </w:tr>
    </w:tbl>
    <w:p>
      <w:pPr>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备注</w:t>
      </w:r>
      <w:r>
        <w:rPr>
          <w:rFonts w:hint="eastAsia" w:asciiTheme="minorEastAsia" w:hAnsiTheme="minorEastAsia" w:eastAsiaTheme="minorEastAsia"/>
          <w:b/>
          <w:sz w:val="21"/>
          <w:szCs w:val="21"/>
        </w:rPr>
        <w:t xml:space="preserve">：提供证明材料</w:t>
      </w:r>
      <w:r/>
    </w:p>
    <w:p>
      <w:pPr>
        <w:pStyle w:val="110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0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bookmarkStart w:id="106" w:name="_Toc492453734"/>
      <w:r/>
      <w:bookmarkStart w:id="107" w:name="_Toc492452755"/>
      <w:r>
        <w:rPr>
          <w:rFonts w:asciiTheme="minorEastAsia" w:hAnsiTheme="minorEastAsia" w:eastAsiaTheme="minorEastAsia"/>
        </w:rPr>
        <w:br w:type="column"/>
      </w:r>
      <w:bookmarkEnd w:id="106"/>
      <w:r/>
      <w:bookmarkEnd w:id="107"/>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bookmarkStart w:id="108" w:name="_Toc496011927"/>
      <w:r>
        <w:rPr>
          <w:rFonts w:hint="eastAsia" w:asciiTheme="minorEastAsia" w:hAnsiTheme="minorEastAsia" w:eastAsiaTheme="minorEastAsia"/>
          <w:b/>
          <w:sz w:val="24"/>
          <w:szCs w:val="24"/>
        </w:rPr>
        <w:t xml:space="preserve">类似业绩一览表</w:t>
      </w:r>
      <w:bookmarkEnd w:id="108"/>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项目名称：无人机“综合飞一次”项目</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rPr>
          <w:rFonts w:asciiTheme="minorEastAsia" w:hAnsiTheme="minorEastAsia" w:eastAsiaTheme="minorEastAsia"/>
          <w:sz w:val="21"/>
          <w:szCs w:val="21"/>
        </w:rPr>
        <w:t xml:space="preserve">JSZC-320506111-HYTZ-C2026-0001</w:t>
      </w:r>
      <w:r/>
    </w:p>
    <w:tbl>
      <w:tblPr>
        <w:tblStyle w:val="8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968"/>
        <w:gridCol w:w="1638"/>
        <w:gridCol w:w="1803"/>
        <w:gridCol w:w="2132"/>
        <w:gridCol w:w="1477"/>
      </w:tblGrid>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W w:w="822" w:type="pct"/>
            <w:vAlign w:val="center"/>
            <w:textDirection w:val="lrTb"/>
            <w:noWrap w:val="false"/>
          </w:tcPr>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服务时间</w:t>
            </w:r>
            <w:r/>
          </w:p>
        </w:tc>
        <w:tc>
          <w:tcPr>
            <w:tcW w:w="905" w:type="pct"/>
            <w:vAlign w:val="center"/>
            <w:textDirection w:val="lrTb"/>
            <w:noWrap w:val="false"/>
          </w:tcPr>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合同金额</w:t>
            </w:r>
            <w:r/>
          </w:p>
          <w:p>
            <w:pPr>
              <w:jc w:val="center"/>
              <w:spacing w:line="276" w:lineRule="auto"/>
              <w:tabs>
                <w:tab w:val="left" w:pos="6252"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（人民币）</w:t>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业主单位</w:t>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20"/>
        </w:trPr>
        <w:tc>
          <w:tcPr>
            <w:tcW w:w="474"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988"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822"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905"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070"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74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r>
    </w:tbl>
    <w:p>
      <w:pPr>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备注：</w:t>
      </w:r>
      <w:r>
        <w:rPr>
          <w:rFonts w:hint="eastAsia" w:asciiTheme="minorEastAsia" w:hAnsiTheme="minorEastAsia" w:eastAsiaTheme="minorEastAsia"/>
          <w:b/>
          <w:sz w:val="21"/>
          <w:szCs w:val="21"/>
        </w:rPr>
        <w:t xml:space="preserve">提供证明材料</w:t>
      </w:r>
      <w:r/>
    </w:p>
    <w:p>
      <w:pPr>
        <w:pStyle w:val="110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07"/>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column"/>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承诺函</w:t>
      </w:r>
      <w:r/>
    </w:p>
    <w:p>
      <w:pPr>
        <w:jc w:val="left"/>
        <w:spacing w:line="276" w:lineRule="auto"/>
        <w:rPr>
          <w:rFonts w:asciiTheme="minorEastAsia" w:hAnsiTheme="minorEastAsia" w:eastAsiaTheme="minorEastAsia"/>
          <w:b/>
          <w:bCs/>
          <w:sz w:val="24"/>
          <w:szCs w:val="24"/>
        </w:rPr>
        <w:outlineLvl w:val="2"/>
      </w:pPr>
      <w:r/>
      <w:bookmarkStart w:id="109" w:name="_Toc475522901"/>
      <w:r/>
      <w:bookmarkStart w:id="110" w:name="_Toc475522900"/>
      <w:r>
        <w:rPr>
          <w:rFonts w:hint="eastAsia" w:asciiTheme="minorEastAsia" w:hAnsiTheme="minorEastAsia" w:eastAsiaTheme="minorEastAsia"/>
          <w:b/>
          <w:bCs/>
          <w:sz w:val="24"/>
          <w:szCs w:val="24"/>
        </w:rPr>
        <w:t xml:space="preserve">1、其他响应承诺</w:t>
      </w:r>
      <w:bookmarkEnd w:id="109"/>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其他响应承诺</w:t>
      </w:r>
      <w:r/>
    </w:p>
    <w:p>
      <w:pPr>
        <w:spacing w:line="360" w:lineRule="auto"/>
        <w:rPr>
          <w:rFonts w:cs="宋体" w:asciiTheme="minorEastAsia" w:hAnsiTheme="minorEastAsia" w:eastAsiaTheme="minorEastAsia"/>
          <w:sz w:val="21"/>
          <w:szCs w:val="21"/>
          <w:u w:val="single"/>
          <w:lang w:val="zh-CN"/>
        </w:rPr>
      </w:pPr>
      <w:r>
        <w:rPr>
          <w:rFonts w:hint="eastAsia" w:asciiTheme="minorEastAsia" w:hAnsiTheme="minorEastAsia" w:eastAsiaTheme="minorEastAsia"/>
          <w:sz w:val="21"/>
          <w:szCs w:val="21"/>
        </w:rPr>
        <w:t xml:space="preserve">致：</w:t>
      </w:r>
      <w:r>
        <w:rPr>
          <w:rFonts w:hint="eastAsia" w:asciiTheme="minorEastAsia" w:hAnsiTheme="minorEastAsia" w:eastAsiaTheme="minorEastAsia"/>
          <w:sz w:val="21"/>
          <w:szCs w:val="21"/>
          <w:u w:val="single"/>
        </w:rPr>
        <w:t xml:space="preserve">苏州市吴中区临湖镇人民政府</w:t>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我公司承诺，我公司在本次项目竞争性磋商中，非联合体参与响应</w:t>
      </w:r>
      <w:r>
        <w:rPr>
          <w:rFonts w:asciiTheme="minorEastAsia" w:hAnsiTheme="minorEastAsia" w:eastAsiaTheme="minorEastAsia"/>
          <w:sz w:val="21"/>
          <w:szCs w:val="21"/>
        </w:rPr>
        <w:t xml:space="preserve">。</w:t>
      </w:r>
      <w:r/>
    </w:p>
    <w:p>
      <w:pPr>
        <w:ind w:firstLine="420"/>
        <w:spacing w:line="360" w:lineRule="auto"/>
        <w:rPr>
          <w:rFonts w:cs="Arial" w:asciiTheme="minorEastAsia" w:hAnsiTheme="minorEastAsia" w:eastAsiaTheme="minorEastAsia"/>
          <w:bCs/>
          <w:sz w:val="21"/>
          <w:szCs w:val="21"/>
        </w:rPr>
      </w:pPr>
      <w:r>
        <w:rPr>
          <w:rFonts w:hint="eastAsia" w:cs="Arial" w:asciiTheme="minorEastAsia" w:hAnsiTheme="minorEastAsia" w:eastAsiaTheme="minorEastAsia"/>
          <w:bCs/>
          <w:sz w:val="21"/>
          <w:szCs w:val="21"/>
        </w:rPr>
        <w:t xml:space="preserve">特此承诺。</w:t>
      </w:r>
      <w:r/>
    </w:p>
    <w:p>
      <w:pPr>
        <w:pStyle w:val="110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0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left"/>
        <w:spacing w:line="276" w:lineRule="auto"/>
        <w:rPr>
          <w:rFonts w:asciiTheme="minorEastAsia" w:hAnsiTheme="minorEastAsia" w:eastAsiaTheme="minorEastAsia"/>
          <w:b/>
          <w:bCs/>
          <w:sz w:val="24"/>
          <w:szCs w:val="24"/>
        </w:rPr>
        <w:outlineLvl w:val="2"/>
      </w:pPr>
      <w:r>
        <w:rPr>
          <w:rFonts w:hint="eastAsia" w:asciiTheme="minorEastAsia" w:hAnsiTheme="minorEastAsia" w:eastAsiaTheme="minorEastAsia"/>
          <w:b/>
          <w:bCs/>
          <w:sz w:val="24"/>
          <w:szCs w:val="24"/>
        </w:rPr>
        <w:t xml:space="preserve">2、申请人不得存在的情形（承诺书）</w:t>
      </w:r>
      <w:bookmarkEnd w:id="110"/>
      <w:r/>
      <w:r/>
    </w:p>
    <w:p>
      <w:pPr>
        <w:jc w:val="cente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申请人不得存在的情形（承诺书）</w:t>
      </w:r>
      <w:r/>
    </w:p>
    <w:p>
      <w:pPr>
        <w:spacing w:line="360" w:lineRule="auto"/>
        <w:rPr>
          <w:rFonts w:cs="宋体" w:asciiTheme="minorEastAsia" w:hAnsiTheme="minorEastAsia" w:eastAsiaTheme="minorEastAsia"/>
          <w:sz w:val="21"/>
          <w:szCs w:val="21"/>
          <w:u w:val="single"/>
          <w:lang w:val="zh-CN"/>
        </w:rPr>
      </w:pPr>
      <w:r>
        <w:rPr>
          <w:rFonts w:hint="eastAsia" w:cs="宋体" w:asciiTheme="minorEastAsia" w:hAnsiTheme="minorEastAsia" w:eastAsiaTheme="minorEastAsia"/>
          <w:sz w:val="21"/>
          <w:szCs w:val="21"/>
          <w:lang w:val="zh-CN"/>
        </w:rPr>
        <w:t xml:space="preserve">致：</w:t>
      </w:r>
      <w:r>
        <w:rPr>
          <w:rFonts w:hint="eastAsia" w:asciiTheme="minorEastAsia" w:hAnsiTheme="minorEastAsia" w:eastAsiaTheme="minorEastAsia"/>
          <w:sz w:val="21"/>
          <w:szCs w:val="21"/>
          <w:u w:val="single"/>
        </w:rPr>
        <w:t xml:space="preserve">苏州市吴中区临湖镇人民政府</w:t>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我公司承诺不存在下列情形：</w:t>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单位负责人为同一人或者存在直接控股、管理关系的不同供应商，不得参加同一合同项下的政府采购活动。</w:t>
      </w:r>
      <w:r/>
    </w:p>
    <w:p>
      <w:pPr>
        <w:ind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特此承诺。</w:t>
      </w:r>
      <w:r/>
    </w:p>
    <w:p>
      <w:pPr>
        <w:pStyle w:val="110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供应商名称（公章）：</w:t>
      </w:r>
      <w:r>
        <w:rPr>
          <w:rFonts w:hint="eastAsia" w:cs="宋体" w:asciiTheme="minorEastAsia" w:hAnsiTheme="minorEastAsia" w:eastAsiaTheme="minorEastAsia"/>
          <w:sz w:val="21"/>
          <w:szCs w:val="21"/>
          <w:u w:val="single"/>
        </w:rPr>
        <w:t xml:space="preserve">                        </w:t>
      </w:r>
      <w:r/>
    </w:p>
    <w:p>
      <w:pPr>
        <w:pStyle w:val="1107"/>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法定代表人或代理人（签字或盖章）：</w:t>
      </w:r>
      <w:r>
        <w:rPr>
          <w:rFonts w:hint="eastAsia" w:cs="宋体" w:asciiTheme="minorEastAsia" w:hAnsiTheme="minorEastAsia" w:eastAsiaTheme="minorEastAsia"/>
          <w:sz w:val="21"/>
          <w:szCs w:val="21"/>
          <w:u w:val="single"/>
        </w:rPr>
        <w:t xml:space="preserve">          </w:t>
      </w:r>
      <w:r/>
    </w:p>
    <w:p>
      <w:pPr>
        <w:ind w:firstLine="441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日期：</w:t>
      </w:r>
      <w:r>
        <w:rPr>
          <w:rFonts w:hint="eastAsia" w:cs="宋体" w:asciiTheme="minorEastAsia" w:hAnsiTheme="minorEastAsia" w:eastAsiaTheme="minorEastAsia"/>
          <w:sz w:val="21"/>
          <w:szCs w:val="21"/>
          <w:u w:val="single"/>
        </w:rPr>
        <w:t xml:space="preserve">  </w:t>
      </w:r>
      <w:r>
        <w:rPr>
          <w:rFonts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年</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月</w:t>
      </w:r>
      <w:r>
        <w:rPr>
          <w:rFonts w:hint="eastAsia" w:cs="宋体" w:asciiTheme="minorEastAsia" w:hAnsiTheme="minorEastAsia" w:eastAsiaTheme="minorEastAsia"/>
          <w:sz w:val="21"/>
          <w:szCs w:val="21"/>
          <w:u w:val="single"/>
        </w:rPr>
        <w:t xml:space="preserve">   </w:t>
      </w:r>
      <w:r>
        <w:rPr>
          <w:rFonts w:hint="eastAsia" w:cs="宋体" w:asciiTheme="minorEastAsia" w:hAnsiTheme="minorEastAsia" w:eastAsiaTheme="minorEastAsia"/>
          <w:sz w:val="21"/>
          <w:szCs w:val="21"/>
        </w:rPr>
        <w:t xml:space="preserve">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numPr>
          <w:ilvl w:val="0"/>
          <w:numId w:val="6"/>
        </w:numPr>
        <w:spacing w:line="276" w:lineRule="auto"/>
        <w:tabs>
          <w:tab w:val="left" w:pos="567" w:leader="none"/>
        </w:tabs>
        <w:rPr>
          <w:rFonts w:asciiTheme="minorEastAsia" w:hAnsiTheme="minorEastAsia" w:eastAsiaTheme="minorEastAsia"/>
          <w:b/>
          <w:sz w:val="24"/>
          <w:szCs w:val="24"/>
        </w:rPr>
        <w:outlineLvl w:val="1"/>
      </w:pPr>
      <w:r>
        <w:rPr>
          <w:rFonts w:hint="eastAsia" w:asciiTheme="minorEastAsia" w:hAnsiTheme="minorEastAsia" w:eastAsiaTheme="minorEastAsia"/>
          <w:b/>
          <w:sz w:val="24"/>
          <w:szCs w:val="24"/>
        </w:rPr>
        <w:t xml:space="preserve">其他证明资料</w:t>
      </w:r>
      <w:r/>
    </w:p>
    <w:p>
      <w:pPr>
        <w:spacing w:line="276" w:lineRule="auto"/>
        <w:rPr>
          <w:rFonts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（除供应商资格条件及采购内容以外的其他涉及实质性响应磋商文件的条款内容）</w:t>
      </w:r>
      <w:r/>
    </w:p>
    <w:p>
      <w:pPr>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rPr>
      </w:pPr>
      <w:r>
        <w:rPr>
          <w:rFonts w:asciiTheme="minorEastAsia" w:hAnsiTheme="minorEastAsia" w:eastAsiaTheme="minorEastAsia"/>
        </w:rPr>
        <w:br w:type="column"/>
      </w:r>
      <w:r/>
    </w:p>
    <w:p>
      <w:pPr>
        <w:pStyle w:val="869"/>
        <w:jc w:val="center"/>
        <w:spacing w:before="0" w:after="0" w:line="276" w:lineRule="auto"/>
        <w:tabs>
          <w:tab w:val="left" w:pos="3570" w:leader="none"/>
        </w:tabs>
        <w:rPr>
          <w:rFonts w:asciiTheme="minorEastAsia" w:hAnsiTheme="minorEastAsia" w:eastAsiaTheme="minorEastAsia"/>
          <w:bCs/>
          <w:sz w:val="28"/>
          <w:szCs w:val="28"/>
        </w:rPr>
      </w:pPr>
      <w:r/>
      <w:bookmarkStart w:id="111" w:name="_Toc13642115"/>
      <w:r/>
      <w:bookmarkStart w:id="112" w:name="_Toc505621540"/>
      <w:r/>
      <w:bookmarkStart w:id="113" w:name="_Toc73208476"/>
      <w:r/>
      <w:bookmarkStart w:id="114" w:name="_Toc490593767"/>
      <w:r/>
      <w:bookmarkStart w:id="115" w:name="_Toc73208786"/>
      <w:r/>
      <w:bookmarkStart w:id="116" w:name="_Toc73208693"/>
      <w:r/>
      <w:bookmarkStart w:id="117" w:name="_Toc73209108"/>
      <w:r/>
      <w:bookmarkStart w:id="118" w:name="_Toc73209037"/>
      <w:r>
        <w:rPr>
          <w:rFonts w:hint="eastAsia" w:asciiTheme="minorEastAsia" w:hAnsiTheme="minorEastAsia" w:eastAsiaTheme="minorEastAsia"/>
          <w:bCs/>
          <w:sz w:val="28"/>
          <w:szCs w:val="28"/>
        </w:rPr>
        <w:t xml:space="preserve">第三章 </w:t>
      </w:r>
      <w:bookmarkEnd w:id="111"/>
      <w:r>
        <w:rPr>
          <w:rFonts w:hint="eastAsia" w:asciiTheme="minorEastAsia" w:hAnsiTheme="minorEastAsia" w:eastAsiaTheme="minorEastAsia"/>
          <w:bCs/>
          <w:sz w:val="28"/>
          <w:szCs w:val="28"/>
        </w:rPr>
        <w:t xml:space="preserve">采购内容</w:t>
      </w:r>
      <w:bookmarkEnd w:id="112"/>
      <w:r/>
      <w:bookmarkEnd w:id="113"/>
      <w:r/>
      <w:bookmarkEnd w:id="114"/>
      <w:r/>
      <w:bookmarkEnd w:id="115"/>
      <w:r/>
      <w:bookmarkEnd w:id="116"/>
      <w:r/>
      <w:bookmarkEnd w:id="117"/>
      <w:r/>
      <w:bookmarkEnd w:id="118"/>
      <w:r/>
      <w:r/>
    </w:p>
    <w:p>
      <w:pPr>
        <w:pStyle w:val="906"/>
        <w:ind w:firstLine="420"/>
        <w:jc w:val="both"/>
        <w:spacing w:line="276" w:lineRule="auto"/>
        <w:rPr>
          <w:rFonts w:cs="宋体" w:asciiTheme="minorEastAsia" w:hAnsiTheme="minorEastAsia" w:eastAsiaTheme="minorEastAsia"/>
          <w:sz w:val="21"/>
          <w:szCs w:val="21"/>
        </w:rPr>
      </w:pPr>
      <w:r/>
      <w:bookmarkStart w:id="119" w:name="_Toc13642116"/>
      <w:r>
        <w:rPr>
          <w:rFonts w:hint="eastAsia" w:cs="宋体" w:asciiTheme="minorEastAsia" w:hAnsiTheme="minorEastAsia" w:eastAsiaTheme="minorEastAsia"/>
          <w:sz w:val="21"/>
          <w:szCs w:val="21"/>
        </w:rPr>
        <w:t xml:space="preserve">苏州昊怡通招标有限公司受采购人苏州市吴中区临湖镇人民政府的委托，就其所需的无人机“综合飞一次”项目采用竞争性磋商方式进行采购，</w:t>
      </w:r>
      <w:r>
        <w:rPr>
          <w:rFonts w:hint="eastAsia" w:asciiTheme="minorEastAsia" w:hAnsiTheme="minorEastAsia" w:eastAsiaTheme="minorEastAsia"/>
          <w:spacing w:val="-6"/>
          <w:sz w:val="21"/>
          <w:szCs w:val="21"/>
        </w:rPr>
        <w:t xml:space="preserve">欢迎</w:t>
      </w:r>
      <w:r>
        <w:rPr>
          <w:rFonts w:asciiTheme="minorEastAsia" w:hAnsiTheme="minorEastAsia" w:eastAsiaTheme="minorEastAsia"/>
          <w:spacing w:val="-6"/>
          <w:sz w:val="21"/>
          <w:szCs w:val="21"/>
        </w:rPr>
        <w:t xml:space="preserve">符合相应资格条件的供应商</w:t>
      </w:r>
      <w:r>
        <w:rPr>
          <w:rFonts w:hint="eastAsia" w:asciiTheme="minorEastAsia" w:hAnsiTheme="minorEastAsia" w:eastAsiaTheme="minorEastAsia"/>
          <w:spacing w:val="-6"/>
          <w:sz w:val="21"/>
          <w:szCs w:val="21"/>
        </w:rPr>
        <w:t xml:space="preserve">前来</w:t>
      </w:r>
      <w:r>
        <w:rPr>
          <w:rFonts w:asciiTheme="minorEastAsia" w:hAnsiTheme="minorEastAsia" w:eastAsiaTheme="minorEastAsia"/>
          <w:spacing w:val="-6"/>
          <w:sz w:val="21"/>
          <w:szCs w:val="21"/>
        </w:rPr>
        <w:t xml:space="preserve">参与</w:t>
      </w:r>
      <w:r>
        <w:rPr>
          <w:rFonts w:hint="eastAsia" w:asciiTheme="minorEastAsia" w:hAnsiTheme="minorEastAsia" w:eastAsiaTheme="minorEastAsia"/>
          <w:spacing w:val="-6"/>
          <w:sz w:val="21"/>
          <w:szCs w:val="21"/>
        </w:rPr>
        <w:t xml:space="preserve">本次</w:t>
      </w:r>
      <w:r>
        <w:rPr>
          <w:rFonts w:asciiTheme="minorEastAsia" w:hAnsiTheme="minorEastAsia" w:eastAsiaTheme="minorEastAsia"/>
          <w:spacing w:val="-6"/>
          <w:sz w:val="21"/>
          <w:szCs w:val="21"/>
        </w:rPr>
        <w:t xml:space="preserve">竞争性磋商采购活动</w:t>
      </w:r>
      <w:r>
        <w:rPr>
          <w:rFonts w:hint="eastAsia" w:asciiTheme="minorEastAsia" w:hAnsiTheme="minorEastAsia" w:eastAsiaTheme="minorEastAsia"/>
          <w:spacing w:val="-6"/>
          <w:sz w:val="21"/>
          <w:szCs w:val="21"/>
        </w:rPr>
        <w:t xml:space="preserve">。</w:t>
      </w:r>
      <w:r/>
    </w:p>
    <w:p>
      <w:pPr>
        <w:numPr>
          <w:ilvl w:val="0"/>
          <w:numId w:val="7"/>
        </w:numPr>
        <w:ind w:left="284" w:hanging="284"/>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采购编号：</w:t>
      </w:r>
      <w:r>
        <w:rPr>
          <w:rFonts w:hint="eastAsia" w:asciiTheme="minorEastAsia" w:hAnsiTheme="minorEastAsia" w:eastAsiaTheme="minorEastAsia"/>
          <w:sz w:val="21"/>
          <w:szCs w:val="21"/>
        </w:rPr>
        <w:t xml:space="preserve">JSZC-320506111-HYTZ-C2026-0001；</w:t>
      </w:r>
      <w:r/>
    </w:p>
    <w:p>
      <w:pPr>
        <w:numPr>
          <w:ilvl w:val="0"/>
          <w:numId w:val="7"/>
        </w:numPr>
        <w:ind w:left="284" w:hanging="284"/>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采购内容：</w:t>
      </w:r>
      <w:r>
        <w:rPr>
          <w:rFonts w:hint="eastAsia" w:asciiTheme="minorEastAsia" w:hAnsiTheme="minorEastAsia" w:eastAsiaTheme="minorEastAsia"/>
          <w:sz w:val="21"/>
          <w:szCs w:val="21"/>
        </w:rPr>
        <w:t xml:space="preserve">无人机“综合飞一次”项目；</w:t>
      </w:r>
      <w:r/>
    </w:p>
    <w:p>
      <w:pPr>
        <w:numPr>
          <w:ilvl w:val="0"/>
          <w:numId w:val="7"/>
        </w:numPr>
        <w:spacing w:line="276" w:lineRule="auto"/>
        <w:tabs>
          <w:tab w:val="left" w:pos="426"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履行期限：</w:t>
      </w:r>
      <w:r>
        <w:rPr>
          <w:rFonts w:hint="eastAsia" w:asciiTheme="minorEastAsia" w:hAnsiTheme="minorEastAsia" w:eastAsiaTheme="minorEastAsia"/>
          <w:sz w:val="21"/>
          <w:szCs w:val="21"/>
        </w:rPr>
        <w:t xml:space="preserve">双方合同签订之日起3个月内完成系统部署、调试和上线工作，进入服务期；服务期限为自正式上线之日起3年。</w:t>
      </w:r>
      <w:r/>
    </w:p>
    <w:p>
      <w:pPr>
        <w:numPr>
          <w:ilvl w:val="0"/>
          <w:numId w:val="7"/>
        </w:numPr>
        <w:ind w:left="426" w:hanging="426"/>
        <w:spacing w:line="276" w:lineRule="auto"/>
        <w:rPr>
          <w:rFonts w:asciiTheme="minorEastAsia" w:hAnsiTheme="minorEastAsia" w:eastAsiaTheme="minorEastAsia"/>
          <w:b/>
          <w:sz w:val="21"/>
          <w:szCs w:val="21"/>
        </w:rPr>
        <w:outlineLvl w:val="1"/>
      </w:pPr>
      <w:r>
        <w:rPr>
          <w:rFonts w:asciiTheme="minorEastAsia" w:hAnsiTheme="minorEastAsia" w:eastAsiaTheme="minorEastAsia"/>
          <w:b/>
          <w:sz w:val="21"/>
          <w:szCs w:val="21"/>
        </w:rPr>
        <w:t xml:space="preserve">项目采购需求：</w:t>
      </w:r>
      <w:r/>
    </w:p>
    <w:p>
      <w:pPr>
        <w:ind w:firstLine="420"/>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（一）项目背景</w:t>
      </w:r>
      <w:r/>
    </w:p>
    <w:p>
      <w:pPr>
        <w:pStyle w:val="906"/>
        <w:ind w:firstLine="420"/>
        <w:spacing w:line="276" w:lineRule="auto"/>
        <w:rPr>
          <w:rFonts w:ascii="宋体" w:hAnsi="宋体" w:cs="宋体"/>
          <w:sz w:val="21"/>
          <w:szCs w:val="21"/>
        </w:rPr>
      </w:pPr>
      <w:r>
        <w:rPr>
          <w:rFonts w:hint="eastAsia" w:ascii="宋体" w:hAnsi="宋体"/>
          <w:sz w:val="21"/>
          <w:szCs w:val="21"/>
        </w:rPr>
        <w:t xml:space="preserve">为全面</w:t>
      </w:r>
      <w:r>
        <w:rPr>
          <w:rFonts w:hint="eastAsia" w:ascii="宋体" w:hAnsi="宋体"/>
          <w:sz w:val="21"/>
          <w:szCs w:val="21"/>
        </w:rPr>
        <w:t xml:space="preserve">提升在复杂环境下的现代化治理水平，临湖镇规划建立低空巡查覆盖网，依托无人机“高空视角+快速覆盖”优势，深入城市腹地，开展“综合飞一次”无人机综合巡查服务，实现在应急消防、违章违建、城市管理、生态保护等智能监管，实现乡镇问题“全方位、无死角”巡查，强化城市管理智能化水平，推动低空经济全面发展。在苏州市、吴中区的整体规划与引领下，临湖镇致力于将自身打造为太湖生态中多技术集成、多领域协同的智慧治理示范高地。其核心目标，便是推动低空经济先进技术与城镇治理的现实需求进行深度耦合，从而为建设为可持续发展的“临湖方案”。</w:t>
      </w:r>
      <w:r/>
    </w:p>
    <w:p>
      <w:pPr>
        <w:ind w:firstLine="420"/>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（二）</w:t>
      </w:r>
      <w:bookmarkStart w:id="120" w:name="OLE_LINK144"/>
      <w:r>
        <w:rPr>
          <w:rFonts w:hint="eastAsia" w:ascii="宋体" w:hAnsi="宋体" w:eastAsia="宋体"/>
          <w:b/>
          <w:sz w:val="21"/>
          <w:szCs w:val="21"/>
        </w:rPr>
        <w:t xml:space="preserve">服务目标及要求</w:t>
      </w:r>
      <w:bookmarkEnd w:id="120"/>
      <w:r/>
      <w:r/>
    </w:p>
    <w:p>
      <w:pPr>
        <w:pStyle w:val="906"/>
        <w:ind w:firstLine="420"/>
        <w:spacing w:line="276" w:lineRule="auto"/>
        <w:rPr>
          <w:rFonts w:ascii="宋体" w:hAnsi="宋体"/>
          <w:sz w:val="21"/>
          <w:szCs w:val="21"/>
        </w:rPr>
      </w:pPr>
      <w:r>
        <w:rPr>
          <w:rFonts w:hint="eastAsia" w:ascii="宋体" w:hAnsi="宋体"/>
          <w:sz w:val="21"/>
          <w:szCs w:val="21"/>
        </w:rPr>
        <w:t xml:space="preserve">“综合飞一次”涉及到临湖镇</w:t>
      </w:r>
      <w:r>
        <w:rPr>
          <w:rFonts w:ascii="宋体" w:hAnsi="宋体"/>
          <w:sz w:val="21"/>
          <w:szCs w:val="21"/>
        </w:rPr>
        <w:t xml:space="preserve">公共安全、交通、</w:t>
      </w:r>
      <w:r>
        <w:rPr>
          <w:rFonts w:hint="eastAsia" w:ascii="宋体" w:hAnsi="宋体"/>
          <w:sz w:val="21"/>
          <w:szCs w:val="21"/>
        </w:rPr>
        <w:t xml:space="preserve">消防</w:t>
      </w:r>
      <w:r>
        <w:rPr>
          <w:rFonts w:ascii="宋体" w:hAnsi="宋体"/>
          <w:sz w:val="21"/>
          <w:szCs w:val="21"/>
        </w:rPr>
        <w:t xml:space="preserve">、城市管理、住房建设、生态环境等领域，开展</w:t>
      </w:r>
      <w:r>
        <w:rPr>
          <w:rFonts w:hint="eastAsia" w:ascii="宋体" w:hAnsi="宋体"/>
          <w:sz w:val="21"/>
          <w:szCs w:val="21"/>
        </w:rPr>
        <w:t xml:space="preserve">临湖镇</w:t>
      </w:r>
      <w:r>
        <w:rPr>
          <w:rFonts w:ascii="宋体" w:hAnsi="宋体"/>
          <w:sz w:val="21"/>
          <w:szCs w:val="21"/>
        </w:rPr>
        <w:t xml:space="preserve">低空综合治理服务。建立巡查覆盖网，依托无人机“高空视角+快速覆盖”优势，深入城市腹地，开展应急消防、违章违建、城市管理、生态保护等智能监管，实现街道问题“全方位、无死角”巡查，强化城市管理智能化水平，推动低空经济全面发展。计划全域部署</w:t>
      </w:r>
      <w:r>
        <w:rPr>
          <w:rFonts w:hint="eastAsia" w:ascii="宋体" w:hAnsi="宋体"/>
          <w:sz w:val="21"/>
          <w:szCs w:val="21"/>
        </w:rPr>
        <w:t xml:space="preserve">4</w:t>
      </w:r>
      <w:r>
        <w:rPr>
          <w:rFonts w:ascii="宋体" w:hAnsi="宋体"/>
          <w:sz w:val="21"/>
          <w:szCs w:val="21"/>
        </w:rPr>
        <w:t xml:space="preserve">台无人机基站</w:t>
      </w:r>
      <w:r>
        <w:rPr>
          <w:rFonts w:hint="eastAsia" w:ascii="宋体" w:hAnsi="宋体"/>
          <w:sz w:val="21"/>
          <w:szCs w:val="21"/>
        </w:rPr>
        <w:t xml:space="preserve">，</w:t>
      </w:r>
      <w:r>
        <w:rPr>
          <w:rFonts w:ascii="宋体" w:hAnsi="宋体"/>
          <w:sz w:val="21"/>
          <w:szCs w:val="21"/>
        </w:rPr>
        <w:t xml:space="preserve">并通过无人机云平台来指挥调度无人机自主巡检，实现无人机巡检的高频次、无人化、全自动立体监测。</w:t>
      </w:r>
      <w:r/>
    </w:p>
    <w:p>
      <w:pPr>
        <w:ind w:firstLine="420"/>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（三）服务清单</w:t>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64"/>
        <w:gridCol w:w="3443"/>
        <w:gridCol w:w="1349"/>
        <w:gridCol w:w="1349"/>
        <w:gridCol w:w="2957"/>
      </w:tblGrid>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服务名称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功能配置要求</w:t>
            </w:r>
            <w:r/>
          </w:p>
        </w:tc>
      </w:tr>
      <w:tr>
        <w:trPr>
          <w:trHeight w:val="2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一、指挥调度服务</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巡检监控服务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指点飞行服务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任务模式服务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设备管理服务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数据可视化服务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
                <w:bCs/>
                <w:sz w:val="21"/>
                <w:szCs w:val="21"/>
              </w:rPr>
              <w:t xml:space="preserve">二、飞控服务</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航线管理服务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素材管理服务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远程控制服务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历史回放服务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自动/手动模式服务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网络服务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76" w:lineRule="auto"/>
              <w:widowControl/>
              <w:rPr>
                <w:rFonts w:asciiTheme="minorEastAsia" w:hAnsiTheme="minorEastAsia" w:eastAsiaTheme="minorEastAsia"/>
                <w:b/>
                <w:bCs/>
                <w:color w:val="000000"/>
                <w:sz w:val="21"/>
                <w:szCs w:val="21"/>
              </w:rPr>
            </w:pPr>
            <w:r>
              <w:rPr>
                <w:rFonts w:hint="eastAsia" w:asciiTheme="minorEastAsia" w:hAnsiTheme="minorEastAsia" w:eastAsiaTheme="minorEastAsia"/>
                <w:b/>
                <w:bCs/>
                <w:color w:val="000000"/>
                <w:sz w:val="21"/>
                <w:szCs w:val="21"/>
              </w:rPr>
              <w:t xml:space="preserve">三、业务中台管理服务</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组织管理服务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角色管理服务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用户管理服务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测绘功能服务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事件编辑服务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事件标记跟进服务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事件下发服务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移动端事件处置服务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流程闭环服务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事件数据统计可视化服务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事件自动区域统计查看服务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移动端事件管理服务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工单报告服务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color w:val="000000"/>
                <w:sz w:val="21"/>
                <w:szCs w:val="21"/>
              </w:rPr>
              <w:t xml:space="preserve">APP服务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
                <w:bCs/>
                <w:color w:val="000000"/>
                <w:sz w:val="21"/>
                <w:szCs w:val="21"/>
              </w:rPr>
              <w:t xml:space="preserve">四、AI识别算法服务</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建筑垃圾AI服务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水面垃圾AI服务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蓝藻AI服务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违章搭建AI服务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烟火AI服务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占道经营AI服务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非法垂钓AI服务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野泳AI服务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车辆违停AI服务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车牌AI服务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asciiTheme="minorEastAsia" w:hAnsiTheme="minorEastAsia" w:eastAsiaTheme="minorEastAsia"/>
                <w:color w:val="000000"/>
                <w:sz w:val="21"/>
                <w:szCs w:val="21"/>
              </w:rPr>
              <w:t xml:space="preserve">裸土覆盖AI服务</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详见项目技术要求</w:t>
            </w:r>
            <w:r/>
          </w:p>
        </w:tc>
      </w:tr>
      <w:tr>
        <w:trPr>
          <w:trHeight w:val="2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color w:val="000000"/>
                <w:sz w:val="21"/>
                <w:szCs w:val="21"/>
              </w:rPr>
              <w:t xml:space="preserve">五、支撑设备设施</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asciiTheme="minorEastAsia" w:hAnsiTheme="minorEastAsia" w:eastAsiaTheme="minorEastAsia"/>
                <w:color w:val="000000"/>
                <w:sz w:val="21"/>
                <w:szCs w:val="21"/>
              </w:rPr>
              <w:outlineLvl w:val="2"/>
            </w:pPr>
            <w:r>
              <w:rPr>
                <w:rFonts w:hint="eastAsia" w:cs="宋体"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asciiTheme="minorEastAsia" w:hAnsiTheme="minorEastAsia" w:eastAsiaTheme="minorEastAsia"/>
                <w:color w:val="000000"/>
                <w:sz w:val="21"/>
                <w:szCs w:val="21"/>
              </w:rPr>
              <w:outlineLvl w:val="2"/>
            </w:pPr>
            <w:r>
              <w:rPr>
                <w:rFonts w:hint="eastAsia" w:cs="宋体" w:asciiTheme="minorEastAsia" w:hAnsiTheme="minorEastAsia" w:eastAsiaTheme="minorEastAsia"/>
                <w:sz w:val="21"/>
                <w:szCs w:val="21"/>
              </w:rPr>
              <w:t xml:space="preserve">无人机场</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详见支撑技术要求</w:t>
            </w:r>
            <w:r/>
          </w:p>
        </w:tc>
      </w:tr>
      <w:tr>
        <w:trPr>
          <w:trHeight w:val="2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spacing w:line="276" w:lineRule="auto"/>
              <w:rPr>
                <w:rFonts w:cs="宋体" w:asciiTheme="minorEastAsia" w:hAnsiTheme="minorEastAsia" w:eastAsiaTheme="minorEastAsia"/>
                <w:sz w:val="21"/>
                <w:szCs w:val="21"/>
              </w:rPr>
              <w:outlineLvl w:val="2"/>
            </w:pPr>
            <w:r>
              <w:rPr>
                <w:rFonts w:hint="eastAsia" w:cs="宋体"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28" w:type="pct"/>
            <w:vAlign w:val="center"/>
            <w:textDirection w:val="lrTb"/>
            <w:noWrap w:val="false"/>
          </w:tcPr>
          <w:p>
            <w:pPr>
              <w:spacing w:line="276" w:lineRule="auto"/>
              <w:rPr>
                <w:rFonts w:cs="宋体" w:asciiTheme="minorEastAsia" w:hAnsiTheme="minorEastAsia" w:eastAsiaTheme="minorEastAsia"/>
                <w:sz w:val="21"/>
                <w:szCs w:val="21"/>
              </w:rPr>
              <w:outlineLvl w:val="2"/>
            </w:pPr>
            <w:r>
              <w:rPr>
                <w:rFonts w:hint="eastAsia" w:cs="宋体" w:asciiTheme="minorEastAsia" w:hAnsiTheme="minorEastAsia" w:eastAsiaTheme="minorEastAsia"/>
                <w:sz w:val="21"/>
                <w:szCs w:val="21"/>
              </w:rPr>
              <w:t xml:space="preserve">机场专配无人机</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276" w:lineRule="auto"/>
              <w:rPr>
                <w:rFonts w:asciiTheme="minorEastAsia" w:hAnsiTheme="minorEastAsia" w:eastAsiaTheme="minorEastAsia"/>
                <w:bCs/>
                <w:sz w:val="21"/>
                <w:szCs w:val="21"/>
              </w:rPr>
              <w:outlineLvl w:val="2"/>
            </w:pPr>
            <w:r>
              <w:rPr>
                <w:rFonts w:hint="eastAsia" w:asciiTheme="minorEastAsia" w:hAnsiTheme="minorEastAsia" w:eastAsiaTheme="minorEastAsia"/>
                <w:bCs/>
                <w:sz w:val="21"/>
                <w:szCs w:val="21"/>
              </w:rPr>
              <w:t xml:space="preserve">详见支撑技术要求</w:t>
            </w:r>
            <w:r/>
          </w:p>
        </w:tc>
      </w:tr>
    </w:tbl>
    <w:p>
      <w:pPr>
        <w:ind w:firstLine="420"/>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（三）项目技术要求</w:t>
      </w:r>
      <w:r/>
    </w:p>
    <w:p>
      <w:pPr>
        <w:ind w:firstLine="420"/>
        <w:spacing w:line="276" w:lineRule="auto"/>
        <w:rPr>
          <w:rFonts w:asciiTheme="minorEastAsia" w:hAnsiTheme="minorEastAsia" w:eastAsiaTheme="minorEastAsia"/>
          <w:b/>
          <w:sz w:val="21"/>
          <w:szCs w:val="21"/>
        </w:rPr>
        <w:outlineLvl w:val="3"/>
      </w:pPr>
      <w:r>
        <w:rPr>
          <w:rFonts w:hint="eastAsia" w:asciiTheme="minorEastAsia" w:hAnsiTheme="minorEastAsia" w:eastAsiaTheme="minorEastAsia"/>
          <w:b/>
          <w:sz w:val="21"/>
          <w:szCs w:val="21"/>
        </w:rPr>
        <w:t xml:space="preserve">1.指挥调度服务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w:t>
      </w:r>
      <w:r>
        <w:rPr>
          <w:rFonts w:asciiTheme="minorEastAsia" w:hAnsiTheme="minorEastAsia" w:eastAsiaTheme="minorEastAsia"/>
          <w:bCs/>
          <w:sz w:val="21"/>
          <w:szCs w:val="21"/>
        </w:rPr>
        <w:t xml:space="preserve">.1</w:t>
      </w:r>
      <w:r>
        <w:rPr>
          <w:rFonts w:hint="eastAsia" w:asciiTheme="minorEastAsia" w:hAnsiTheme="minorEastAsia" w:eastAsiaTheme="minorEastAsia"/>
          <w:bCs/>
          <w:sz w:val="21"/>
          <w:szCs w:val="21"/>
        </w:rPr>
        <w:t xml:space="preserve">巡检监控服务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通过直播流订阅和编解码实现实直播机场全域与飞行器动态，巡检监控画面精准捕捉每一处细节。镜头同步呈现机场跑道、停机坪的运营实况，航班起降、地勤作业清晰可见；同时聚焦飞行器飞行轨迹，结合航线高度模式与GSD参数校准的飞行高度，实时传回稳定流畅的空中视角。画面支持多维度切换，既保障机场安全巡检的全面性，又能直观展示飞行器作业状态，让观众实时见证航空运营与飞行作业的规范流程，兼具安全监控、作业监督与科普展示价值。</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w:t>
      </w:r>
      <w:r>
        <w:rPr>
          <w:rFonts w:asciiTheme="minorEastAsia" w:hAnsiTheme="minorEastAsia" w:eastAsiaTheme="minorEastAsia"/>
          <w:bCs/>
          <w:sz w:val="21"/>
          <w:szCs w:val="21"/>
        </w:rPr>
        <w:t xml:space="preserve">.2</w:t>
      </w:r>
      <w:r>
        <w:rPr>
          <w:rFonts w:hint="eastAsia" w:asciiTheme="minorEastAsia" w:hAnsiTheme="minorEastAsia" w:eastAsiaTheme="minorEastAsia"/>
          <w:bCs/>
          <w:sz w:val="21"/>
          <w:szCs w:val="21"/>
        </w:rPr>
        <w:t xml:space="preserve">指点飞行服务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中的核心精准作业功能，通过地图交互实现点位直达控制。用户可在电子地图（如GIS地图、实景地图）上直接选点，系统自动解析目标坐标、海拔等空间信息，生成最优飞行路径。支持复杂场景适配，可跨越地形障碍、规避禁飞区，同时兼容手动微调飞行参数。作业中无需持续操控，飞行器自主完成起降、巡航、定点悬停，大幅提升巡检效率。其核心优势在于精准性与便捷性，能快速抵达人工难以触及的区域，保障巡检覆盖全面性与数据采集准确性。</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w:t>
      </w:r>
      <w:r>
        <w:rPr>
          <w:rFonts w:asciiTheme="minorEastAsia" w:hAnsiTheme="minorEastAsia" w:eastAsiaTheme="minorEastAsia"/>
          <w:bCs/>
          <w:sz w:val="21"/>
          <w:szCs w:val="21"/>
        </w:rPr>
        <w:t xml:space="preserve">.3</w:t>
      </w:r>
      <w:r>
        <w:rPr>
          <w:rFonts w:hint="eastAsia" w:asciiTheme="minorEastAsia" w:hAnsiTheme="minorEastAsia" w:eastAsiaTheme="minorEastAsia"/>
          <w:bCs/>
          <w:sz w:val="21"/>
          <w:szCs w:val="21"/>
        </w:rPr>
        <w:t xml:space="preserve">任务模式服务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无人机巡检的三种任务模式可灵活适配不同作业需求，实现全场景覆盖</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1）立即执行模式支持即时启动任务，飞行器接收指令后快速响应，适用于突发故障排查、紧急巡检等场景；</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2）定时飞行模式允许预设具体执行时间，结合航线规划实现无人值守作业，适配周期性常规巡检；</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3）循环巡检模式可设定固定航线与重复次数，针对重点区域进行往复排查，保障关键设施的全方位监测。</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三种模式均支持参数自定义，可搭配高度、速度、拍摄角度等设置，兼顾作业效率与数据精度，满足不同场景下的巡检诉求，助力智能化巡检体系构建。</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w:t>
      </w:r>
      <w:r>
        <w:rPr>
          <w:rFonts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设备管理服务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的组织化设备管理，是保障作业规范与资产安全的核心环节。其以组织架构为依托，构建分层级的设备管控体系，涵盖无人机机身、负载设备、电池、遥控器等硬件的全生命周期管理。通过按部门、项目组等组织单元划分设备归属，明确责任主体，实现设备调度有序化。同时联动设备台账、状态监测功能，实时追踪设备使用率、健康状况，支撑故障预警与维保计划制定。管理模式可避免设备闲置或滥用，降低损耗率，适配多团队协同巡检场景，为规模化、常态化巡检作业提供稳定的硬件支撑。</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w:t>
      </w:r>
      <w:r>
        <w:rPr>
          <w:rFonts w:asciiTheme="minorEastAsia" w:hAnsiTheme="minorEastAsia" w:eastAsiaTheme="minorEastAsia"/>
          <w:bCs/>
          <w:sz w:val="21"/>
          <w:szCs w:val="21"/>
        </w:rPr>
        <w:t xml:space="preserve">.5</w:t>
      </w:r>
      <w:r>
        <w:rPr>
          <w:rFonts w:hint="eastAsia" w:asciiTheme="minorEastAsia" w:hAnsiTheme="minorEastAsia" w:eastAsiaTheme="minorEastAsia"/>
          <w:bCs/>
          <w:sz w:val="21"/>
          <w:szCs w:val="21"/>
        </w:rPr>
        <w:t xml:space="preserve">数据可视化服务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数据可视化是核心数据中枢，聚焦关键运营指标实现直观呈现与实时监控。大屏核心模块涵盖五大核心维度；支持机场状态模块实时展示起任务占用情况；支持环境参数及保障资源配置；支持飞行器状态模块动态更新各设备在线状态、电池剩余电量、信号强度等关键数据；支持任务执行总时间与飞行总距离模块以累计数值+趋势曲线形式，支持直观呈现巡检作业总量；支持照片/视频数量模块分类统计采集数据总量，</w:t>
      </w:r>
      <w:bookmarkStart w:id="121" w:name="OLE_LINK82"/>
      <w:r/>
      <w:bookmarkStart w:id="122" w:name="OLE_LINK83"/>
      <w:r>
        <w:rPr>
          <w:rFonts w:hint="eastAsia" w:asciiTheme="minorEastAsia" w:hAnsiTheme="minorEastAsia" w:eastAsiaTheme="minorEastAsia"/>
          <w:bCs/>
          <w:sz w:val="21"/>
          <w:szCs w:val="21"/>
        </w:rPr>
        <w:t xml:space="preserve">支持</w:t>
      </w:r>
      <w:bookmarkEnd w:id="121"/>
      <w:r/>
      <w:bookmarkEnd w:id="122"/>
      <w:r>
        <w:rPr>
          <w:rFonts w:hint="eastAsia" w:asciiTheme="minorEastAsia" w:hAnsiTheme="minorEastAsia" w:eastAsiaTheme="minorEastAsia"/>
          <w:bCs/>
          <w:sz w:val="21"/>
          <w:szCs w:val="21"/>
        </w:rPr>
        <w:t xml:space="preserve">按任务、设备维度筛选查看。整体界面采用模块化布局，搭配色彩区分与数据联动功能，可快速捕捉核心信息，助力管理人员实时掌控作业进度、设备状态与数据产出，为巡检调度优化与决策制定提供数据支撑。</w:t>
      </w:r>
      <w:r/>
    </w:p>
    <w:p>
      <w:pPr>
        <w:ind w:firstLine="420"/>
        <w:spacing w:line="276" w:lineRule="auto"/>
        <w:rPr>
          <w:rFonts w:asciiTheme="minorEastAsia" w:hAnsiTheme="minorEastAsia" w:eastAsiaTheme="minorEastAsia"/>
          <w:b/>
          <w:sz w:val="21"/>
          <w:szCs w:val="21"/>
        </w:rPr>
        <w:outlineLvl w:val="3"/>
      </w:pPr>
      <w:r>
        <w:rPr>
          <w:rFonts w:hint="eastAsia" w:asciiTheme="minorEastAsia" w:hAnsiTheme="minorEastAsia" w:eastAsiaTheme="minorEastAsia"/>
          <w:b/>
          <w:sz w:val="21"/>
          <w:szCs w:val="21"/>
        </w:rPr>
        <w:t xml:space="preserve">2.飞控服务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rPr>
          <w:rFonts w:asciiTheme="minorEastAsia" w:hAnsiTheme="minorEastAsia" w:eastAsiaTheme="minorEastAsia"/>
          <w:bCs/>
          <w:sz w:val="21"/>
          <w:szCs w:val="21"/>
        </w:rPr>
        <w:t xml:space="preserve">.1</w:t>
      </w:r>
      <w:r>
        <w:rPr>
          <w:rFonts w:hint="eastAsia" w:asciiTheme="minorEastAsia" w:hAnsiTheme="minorEastAsia" w:eastAsiaTheme="minorEastAsia"/>
          <w:bCs/>
          <w:sz w:val="21"/>
          <w:szCs w:val="21"/>
        </w:rPr>
        <w:t xml:space="preserve">航线管理服务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航线管理是无人机巡检智能化作业的核心功能，支持线状与面状两类航线灵活配置，精准适配日常巡检与二/三维建模场景。</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线状航线可按实际巡查范围设定连续路径，支持拐点自定义与距离均匀分配，保障线性设施全覆盖巡检；</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面状航线通过多边形框选目标区域，支持自动生成飞行路径，确保区域无死角覆盖，满足地形测绘、场景建模的数据采集需求。</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航线支持参数化编辑，可调整飞行高度、速度、拍摄重叠率等指标，且具备航线保存、复用功能，提升重复作业效率。两类航线模式的灵活切换，既保障日常巡检的高效性，又满足建模场景的数据精度要求，为多场景巡检作业提供标准化、可复用的航线解决方案。</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rPr>
          <w:rFonts w:asciiTheme="minorEastAsia" w:hAnsiTheme="minorEastAsia" w:eastAsiaTheme="minorEastAsia"/>
          <w:bCs/>
          <w:sz w:val="21"/>
          <w:szCs w:val="21"/>
        </w:rPr>
        <w:t xml:space="preserve">.2</w:t>
      </w:r>
      <w:r>
        <w:rPr>
          <w:rFonts w:hint="eastAsia" w:asciiTheme="minorEastAsia" w:hAnsiTheme="minorEastAsia" w:eastAsiaTheme="minorEastAsia"/>
          <w:bCs/>
          <w:sz w:val="21"/>
          <w:szCs w:val="21"/>
        </w:rPr>
        <w:t xml:space="preserve">素材管理服务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素材管理是无人机巡检数据流转的核心环节，实现飞行采集成果的集中管控与高效应用。支持照片、视频、二/三维建模数据的分类存储、检索与预览，可按任务、时间、设备等维度快速筛选目标素材。</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核心亮点在于地理空间关联能力，建模数据可精准叠加至电子地图，直观呈现巡检区域的三维地形、设施布局与采集点位关联。同时支持素材元数据查看，包含拍摄坐标、飞行参数、数据精度等关键信息，助力数据溯源与质量核验。打通采集与应用的数据流，方便用户快速定位重点区域素材、对比分析巡检成果，为缺陷识别、报告生成提供高效的数据支撑。</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rPr>
          <w:rFonts w:asciiTheme="minorEastAsia" w:hAnsiTheme="minorEastAsia" w:eastAsiaTheme="minorEastAsia"/>
          <w:bCs/>
          <w:sz w:val="21"/>
          <w:szCs w:val="21"/>
        </w:rPr>
        <w:t xml:space="preserve">.3</w:t>
      </w:r>
      <w:r>
        <w:rPr>
          <w:rFonts w:hint="eastAsia" w:asciiTheme="minorEastAsia" w:hAnsiTheme="minorEastAsia" w:eastAsiaTheme="minorEastAsia"/>
          <w:bCs/>
          <w:sz w:val="21"/>
          <w:szCs w:val="21"/>
        </w:rPr>
        <w:t xml:space="preserve">远程控制服务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远程控制是无人机巡检跨场景作业的关键支撑功能，专为硬件设备远程调试设计，大幅提升运维效率与作业灵活性。支持异地对无人机机身、负载设备及控制系统进行远程操作，可实时调整飞行参数、校准传感器精度、排查设备故障，无需现场到场即可完成设备调试。同时兼容参数配置同步与状态实时回传，调试过程中可同步查看设备响应数据，确保调试效果精准达标。其核心价值在于突破空间限制，减少现场运维成本，尤其适用于多区域分散作业、偏远点位设备维护场景，为巡检设备稳定运行提供高效的远程保障。</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rPr>
          <w:rFonts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历史回放服务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历史回放是无人机巡检作业追溯与复盘的核心功能，实现飞行全流程数据的高清录制与精准回溯。系统自动采集飞行轨迹、设备状态、环境参数等数据，同步录制飞行视角高清视频，形成“视频画面+数据叠加”的完整回放文件。</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回放可按时间、任务维度检索目标回放内容，支持直观还原飞行路径、操作过程与数据采集场景。为作业合规核查、故障溯源、经验沉淀提供完整数据支撑，尤其适用于问题排查、作业复盘与培训教学，助力优化巡检流程与操作规范。</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rPr>
          <w:rFonts w:asciiTheme="minorEastAsia" w:hAnsiTheme="minorEastAsia" w:eastAsiaTheme="minorEastAsia"/>
          <w:bCs/>
          <w:sz w:val="21"/>
          <w:szCs w:val="21"/>
        </w:rPr>
        <w:t xml:space="preserve">.5</w:t>
      </w:r>
      <w:r>
        <w:rPr>
          <w:rFonts w:hint="eastAsia" w:asciiTheme="minorEastAsia" w:hAnsiTheme="minorEastAsia" w:eastAsiaTheme="minorEastAsia"/>
          <w:bCs/>
          <w:sz w:val="21"/>
          <w:szCs w:val="21"/>
        </w:rPr>
        <w:t xml:space="preserve">自动/手动模式服务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自动飞行的手动切换功能，为作业提供灵活操控空间，兼顾自动化效率与场景适配性。自动飞行过程中可随时切换至手动模式，支持自由飞行调整，同时解锁多元操作权限：可实时调节镜头角度与焦距，精准聚焦目标区域；支持热成像与可见光镜头快速切换，适配昼夜、复杂环境下的观测需求。此外，手动模式下还能在指定地点发起抓拍，捕捉关键细节，或启动全景拍照功能，生成全方位场景影像。既保留自动飞行的高效性，又通过手动干预满足突发观测、细节采集需求，适配巡检中的缺陷复核、重点区域详查等场景，提升作业灵活性与数据采集全面性。</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w:t>
      </w:r>
      <w:r>
        <w:rPr>
          <w:rFonts w:asciiTheme="minorEastAsia" w:hAnsiTheme="minorEastAsia" w:eastAsiaTheme="minorEastAsia"/>
          <w:bCs/>
          <w:sz w:val="21"/>
          <w:szCs w:val="21"/>
        </w:rPr>
        <w:t xml:space="preserve">.6</w:t>
      </w:r>
      <w:r>
        <w:rPr>
          <w:rFonts w:hint="eastAsia" w:asciiTheme="minorEastAsia" w:hAnsiTheme="minorEastAsia" w:eastAsiaTheme="minorEastAsia"/>
          <w:bCs/>
          <w:sz w:val="21"/>
          <w:szCs w:val="21"/>
        </w:rPr>
        <w:t xml:space="preserve">网络服务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提供机巢（物联网卡及专线）所需要的物联网卡以及互联网带宽。</w:t>
      </w:r>
      <w:r/>
    </w:p>
    <w:p>
      <w:pPr>
        <w:ind w:firstLine="420"/>
        <w:spacing w:line="276" w:lineRule="auto"/>
        <w:rPr>
          <w:rFonts w:asciiTheme="minorEastAsia" w:hAnsiTheme="minorEastAsia" w:eastAsiaTheme="minorEastAsia"/>
          <w:b/>
          <w:sz w:val="21"/>
          <w:szCs w:val="21"/>
        </w:rPr>
        <w:outlineLvl w:val="3"/>
      </w:pPr>
      <w:r>
        <w:rPr>
          <w:rFonts w:hint="eastAsia" w:asciiTheme="minorEastAsia" w:hAnsiTheme="minorEastAsia" w:eastAsiaTheme="minorEastAsia"/>
          <w:b/>
          <w:sz w:val="21"/>
          <w:szCs w:val="21"/>
        </w:rPr>
        <w:t xml:space="preserve">3.业务中台管理服务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.1</w:t>
      </w:r>
      <w:r>
        <w:rPr>
          <w:rFonts w:hint="eastAsia" w:asciiTheme="minorEastAsia" w:hAnsiTheme="minorEastAsia" w:eastAsiaTheme="minorEastAsia"/>
          <w:bCs/>
          <w:sz w:val="21"/>
          <w:szCs w:val="21"/>
        </w:rPr>
        <w:t xml:space="preserve">组织管理服务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组织管理体系需依托层级化权限管控架构，结合实际管理架构分级配置使用权限。按管理层级划分配备决策层、调度层、执行层权限，决策层可查看全局巡检数据与统计报表，调度层拥有任务分配、流程审批及权限分配权限，支持执行层仅开放设备操控、数据采集与上传功能。通过权限隔离实现职责明晰，既保障巡检作业高效推进，又防范数据泄露与操作风险，适配不同规模组织的管理需求，助力无人机巡检工作规范化、安全化开展。</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.2</w:t>
      </w:r>
      <w:r>
        <w:rPr>
          <w:rFonts w:hint="eastAsia" w:asciiTheme="minorEastAsia" w:hAnsiTheme="minorEastAsia" w:eastAsiaTheme="minorEastAsia"/>
          <w:bCs/>
          <w:sz w:val="21"/>
          <w:szCs w:val="21"/>
        </w:rPr>
        <w:t xml:space="preserve">角色管理服务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组织管理的角色管理模块，支持自定义角色配置与精细化权限管控。可根据业务需求创建差异化角色，支持同步设置菜单功能使用权限与数据查看权限：支持菜单权限精准控制角色对系统功能模块的操作权限，支持数据权限则按业务范围、巡检区域等维度限定数据访问边界。通过角色与权限的灵活绑定，实现“一人多角色”或“一角色多用户”适配，既满足不同岗位的作业需求，又确保数据安全与操作规范，为无人机巡检组织管理提供灵活、可控的权限支撑。</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.3</w:t>
      </w:r>
      <w:r>
        <w:rPr>
          <w:rFonts w:hint="eastAsia" w:asciiTheme="minorEastAsia" w:hAnsiTheme="minorEastAsia" w:eastAsiaTheme="minorEastAsia"/>
          <w:bCs/>
          <w:sz w:val="21"/>
          <w:szCs w:val="21"/>
        </w:rPr>
        <w:t xml:space="preserve">用户管理服务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组织管理的用户管理模块，核心实现用户全生命周期管控与权限精准分配。支持用户信息录入、状态管理及角色授权操作，可直接为单个用户指定专属使用权限，支持通过绑定预设角色快速配置菜单功能权限。支持用户权限与角色权限灵活互补，既允许基于角色批量授权提升管理效率，也支持针对特殊需求用户单独微调权限，确保每位用户仅获取职责范围内的系统操作与数据访问权限，兼顾管理便捷性与权限安全性，为无人机巡检系统的规范使用筑牢基础。</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测绘功能服务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系统的地图模块支持实用化标定与轻量化测绘功能。用户可在二维正射影像或三维模型地图上，对标定巡检缺陷点、杆塔等关键地物标注坐标与文字信息。同时搭载厘米级精度测绘功能，能快速完成两点及多段距离测量、目标物相对高度测算，还可通过框选区域自动计算地块、巡检区域等的面积与周长。支持依托无人机采集的点云与影像数据，适配电力、工程等巡检场景，为现场研判和数据归档提供精准地理数据支撑。</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.5</w:t>
      </w:r>
      <w:r>
        <w:rPr>
          <w:rFonts w:hint="eastAsia" w:asciiTheme="minorEastAsia" w:hAnsiTheme="minorEastAsia" w:eastAsiaTheme="minorEastAsia"/>
          <w:bCs/>
          <w:sz w:val="21"/>
          <w:szCs w:val="21"/>
        </w:rPr>
        <w:t xml:space="preserve">事件编辑服务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图片信息编辑模块采用“AI初检+人工精修”的人机协同模式，实现事件信息的精准校准。支持对飞行抓拍图片手动确认事件类型，涵盖缺陷、异常、合规等预设分类，也可自定义新增事件标签。针对AI自动检测的事件结果，用户可手动修改事件类别、调整标注框位置，补充风险等级、缺陷描述等关键信息，遵循“5W1H”原则确保记录可追溯。支持编辑后的图片与事件信息自动关联存储，同步更新至巡检数据库，既保障数据准确性，又通过人工反馈优化AI检测模型，提升后续识别精度。</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.6</w:t>
      </w:r>
      <w:r>
        <w:rPr>
          <w:rFonts w:hint="eastAsia" w:asciiTheme="minorEastAsia" w:hAnsiTheme="minorEastAsia" w:eastAsiaTheme="minorEastAsia"/>
          <w:bCs/>
          <w:sz w:val="21"/>
          <w:szCs w:val="21"/>
        </w:rPr>
        <w:t xml:space="preserve">事件标记跟进服务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主页数据可视化大屏以事件标记为核心展示维度，支持整合多维度巡检数据实现直观呈现。支持大屏通过地图图层叠加事件标记，支持不同颜色标识区分事件类型与处理状态，支持查看点位详情、事件描述、发现时间、处理进度等信息。同步展示事件总数、待处理/处理中/已闭环数量及占比、高频事件类型分布等统计数据，支持按区域、时间、事件等级筛选查询。直观呈现各点位巡检事件全貌与流转状态，助力管理人员快速掌握核心信息，提升巡检事件处置效率与全局管控能力。</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.7</w:t>
      </w:r>
      <w:r>
        <w:rPr>
          <w:rFonts w:hint="eastAsia" w:asciiTheme="minorEastAsia" w:hAnsiTheme="minorEastAsia" w:eastAsiaTheme="minorEastAsia"/>
          <w:bCs/>
          <w:sz w:val="21"/>
          <w:szCs w:val="21"/>
        </w:rPr>
        <w:t xml:space="preserve">事件下发服务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直观获取事件原图、AI检测结果对比图及精准地图位置信息，同步展示事件类型、风险等级、发现时间等核心数据。支持一键将事件任务下发至指定处理人员或自动下发，附带完整图文与位置信息，同时生成唯一任务编号便于追踪。处理人员接收任务后可实时反馈进展，实现事件从发现、下发到闭环的全流程可视化管控，保障巡检问题高效响应、精准处置。</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.8</w:t>
      </w:r>
      <w:r>
        <w:rPr>
          <w:rFonts w:hint="eastAsia" w:asciiTheme="minorEastAsia" w:hAnsiTheme="minorEastAsia" w:eastAsiaTheme="minorEastAsia"/>
          <w:bCs/>
          <w:sz w:val="21"/>
          <w:szCs w:val="21"/>
        </w:rPr>
        <w:t xml:space="preserve">移动端事件处置服务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事件处置支持移动端APP全流程操作，兼顾便捷性与实用性。处理人员可通过APP实时接收下发任务，支持随时查看处置要求、事件原图、检测结果及地图位置。现场处置完成后，可直接通过APP拍照取证，上传带时间戳、地理位置水印的实景照片，同步填写处置说明、整改措施等文字信息，提交即可完成处置流程。管理人员也能通过APP或Web平台实时查看处置结果、取证影像及进度状态，实现事件处置的移动化、无纸化与实时化，大幅提升巡检问题闭环效率，适配户外作业场景的灵活需求。</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.9</w:t>
      </w:r>
      <w:r>
        <w:rPr>
          <w:rFonts w:hint="eastAsia" w:asciiTheme="minorEastAsia" w:hAnsiTheme="minorEastAsia" w:eastAsiaTheme="minorEastAsia"/>
          <w:bCs/>
          <w:sz w:val="21"/>
          <w:szCs w:val="21"/>
        </w:rPr>
        <w:t xml:space="preserve">流程闭环服务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管理平台构建事件处理全流程闭环，在接收移动端APP上传的处置结果后，支持管理人员在平台端进行最终确认。管理人员可查看处置取证照片、整改说明等完整材料，结合事件原始数据交叉核验处置效果。确认合格后标记为已闭环，若需补充整改则退回并附带反馈意见，形成“发现-下发-处置-核验-闭环”的完整链路。支持自动记录全流程操作日志与时间节点，确保每起事件可追溯、可核查，推动巡检管理规范化落地，提升事件处置质量与管理效率。</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.10</w:t>
      </w:r>
      <w:r>
        <w:rPr>
          <w:rFonts w:hint="eastAsia" w:asciiTheme="minorEastAsia" w:hAnsiTheme="minorEastAsia" w:eastAsiaTheme="minorEastAsia"/>
          <w:bCs/>
          <w:sz w:val="21"/>
          <w:szCs w:val="21"/>
        </w:rPr>
        <w:t xml:space="preserve">事件数据统计可视化服务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系统的事件数据统计模块兼具统计分析与可视化呈现能力，支持多维度数据整合运算。可按事件类型、巡检区域、处理状态、时间周期等维度自动统计数据。同时支持钻取式查询，点击统计图表或数据条目即可跳转查看对应事件具体详情，包括原始影像、处置过程、取证材料、全流程日志等完整信息，实现“统计-可视化-详情追溯”的无缝衔接，为管理决策提供数据支撑，提升巡检工作的精细化管理水平。</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.11</w:t>
      </w:r>
      <w:r>
        <w:rPr>
          <w:rFonts w:hint="eastAsia" w:asciiTheme="minorEastAsia" w:hAnsiTheme="minorEastAsia" w:eastAsiaTheme="minorEastAsia"/>
          <w:bCs/>
          <w:sz w:val="21"/>
          <w:szCs w:val="21"/>
        </w:rPr>
        <w:t xml:space="preserve">事件自动区域统计查看服务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系统支持异常事件自动区域统计与时间段精准查询功能。可基于无人机飞行轨迹与地理坐标，支持自动按预设巡检区域汇总异常事件数量、类型分布及密度，支持生成区域统计报表。同时支持按日、周、月或自定义时间段筛选查询，支持快速定位特定时段内各区域的异常事件数据，支持同步展示事件详情与处置状态。通过区域与时间维度的双重统计分析，助力管理人员精准掌握不同区域、不同时段的巡检风险态势，为优化巡检计划、聚焦管控重点提供数据支撑。</w:t>
      </w:r>
      <w:r/>
    </w:p>
    <w:p>
      <w:pPr>
        <w:ind w:firstLine="420"/>
        <w:spacing w:line="276" w:lineRule="auto"/>
        <w:rPr>
          <w:rFonts w:asciiTheme="minorEastAsia" w:hAnsiTheme="minorEastAsia" w:eastAsiaTheme="minorEastAsia"/>
          <w:bCs/>
          <w:sz w:val="21"/>
          <w:szCs w:val="21"/>
        </w:rPr>
      </w:pPr>
      <w:r>
        <w:rPr>
          <w:rFonts w:asciiTheme="minorEastAsia" w:hAnsiTheme="minorEastAsia" w:eastAsiaTheme="minorEastAsia"/>
          <w:bCs/>
          <w:sz w:val="21"/>
          <w:szCs w:val="21"/>
        </w:rPr>
        <w:t xml:space="preserve">3.12</w:t>
      </w:r>
      <w:r>
        <w:rPr>
          <w:rFonts w:hint="eastAsia" w:asciiTheme="minorEastAsia" w:hAnsiTheme="minorEastAsia" w:eastAsiaTheme="minorEastAsia"/>
          <w:bCs/>
          <w:sz w:val="21"/>
          <w:szCs w:val="21"/>
        </w:rPr>
        <w:t xml:space="preserve">移动端事件管理服务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配套的无人机巡检APP聚焦事件管理与处置核心需求，为户外作业提供高效工具支撑。APP支持接收平台下发的巡检事件任务，清晰展示事件地点、类型、原始影像及处置要求，助力处理人员快速定位现场开展复查。现场处置时，可直接拍照取证、上传整改影像，填写处置详情与进度，实现事件处理全流程移动端操作。同时具备导航定位功能，精准指引事件发现地点，方便二次复查核验，大幅提升事件处置效率与精准度，适配户外巡检场景的灵活性与便捷性需求。</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asciiTheme="minorEastAsia" w:hAnsiTheme="minorEastAsia" w:eastAsiaTheme="minorEastAsia"/>
          <w:bCs/>
          <w:sz w:val="21"/>
          <w:szCs w:val="21"/>
        </w:rPr>
        <w:t xml:space="preserve">.13</w:t>
      </w:r>
      <w:r>
        <w:rPr>
          <w:rFonts w:hint="eastAsia" w:asciiTheme="minorEastAsia" w:hAnsiTheme="minorEastAsia" w:eastAsiaTheme="minorEastAsia"/>
          <w:bCs/>
          <w:sz w:val="21"/>
          <w:szCs w:val="21"/>
        </w:rPr>
        <w:t xml:space="preserve">工单报告服务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系统支持基于飞行数据自动生成标准化工单，并提供按需定制服务。系统可提取飞行过程中采集的异常事件、点位信息、影像数据等核心内容，支持自动填充工单字段，生成包含任务详情、处置要求、时间节点的规范工单。同时支持按客户需求定制工单格式、字段维度、审批流程等，适配不同行业、不同管理模式的个性化需求。支持工单生成后可同步推送至对应处理人员，实现“飞行数据-工单创建-任务派发”的无缝衔接，提升巡检任务流转效率与管理规范性。</w:t>
      </w:r>
      <w:r/>
    </w:p>
    <w:p>
      <w:pPr>
        <w:ind w:firstLine="420"/>
        <w:spacing w:line="276" w:lineRule="auto"/>
        <w:rPr>
          <w:rFonts w:asciiTheme="minorEastAsia" w:hAnsiTheme="minorEastAsia" w:eastAsiaTheme="minorEastAsia"/>
          <w:bCs/>
          <w:sz w:val="21"/>
          <w:szCs w:val="21"/>
        </w:rPr>
      </w:pPr>
      <w:r>
        <w:rPr>
          <w:rFonts w:asciiTheme="minorEastAsia" w:hAnsiTheme="minorEastAsia" w:eastAsiaTheme="minorEastAsia"/>
          <w:bCs/>
          <w:sz w:val="21"/>
          <w:szCs w:val="21"/>
        </w:rPr>
        <w:t xml:space="preserve">3.14 </w:t>
      </w:r>
      <w:r>
        <w:rPr>
          <w:rFonts w:hint="eastAsia" w:asciiTheme="minorEastAsia" w:hAnsiTheme="minorEastAsia" w:eastAsiaTheme="minorEastAsia"/>
          <w:bCs/>
          <w:sz w:val="21"/>
          <w:szCs w:val="21"/>
        </w:rPr>
        <w:t xml:space="preserve">APP服务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无人机巡检配套APP以全流程任务管控为核心，支持整合核心功能模块实现高效作业。支持接收、查看、调度巡检任务，支持清晰呈现任务要求与进度；任务直播功能可实时回传飞行画面，便于远程协同研判；支持自动生成标准化报告，支持在线查看与导出；支持任务成果模块集中存储巡检影像、测绘数据等成果，方便追溯调用；支持事件处置模块则提供移动端闭环处理能力，支持现场取证、信息填报与进度同步。支持无缝衔接覆盖巡检全流程，为户外作业与远程管控提供一体化移动支撑。</w:t>
      </w:r>
      <w:r/>
    </w:p>
    <w:p>
      <w:pPr>
        <w:ind w:firstLine="420"/>
        <w:spacing w:line="276" w:lineRule="auto"/>
        <w:rPr>
          <w:rFonts w:asciiTheme="minorEastAsia" w:hAnsiTheme="minorEastAsia" w:eastAsiaTheme="minorEastAsia"/>
          <w:b/>
          <w:sz w:val="21"/>
          <w:szCs w:val="21"/>
        </w:rPr>
        <w:outlineLvl w:val="3"/>
      </w:pPr>
      <w:r>
        <w:rPr>
          <w:rFonts w:hint="eastAsia" w:asciiTheme="minorEastAsia" w:hAnsiTheme="minorEastAsia" w:eastAsiaTheme="minorEastAsia"/>
          <w:b/>
          <w:sz w:val="21"/>
          <w:szCs w:val="21"/>
        </w:rPr>
        <w:t xml:space="preserve">4.AI识别算法服务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.1</w:t>
      </w:r>
      <w:r>
        <w:rPr>
          <w:rFonts w:hint="eastAsia" w:asciiTheme="minorEastAsia" w:hAnsiTheme="minorEastAsia" w:eastAsiaTheme="minorEastAsia"/>
          <w:bCs/>
          <w:sz w:val="21"/>
          <w:szCs w:val="21"/>
        </w:rPr>
        <w:t xml:space="preserve">建筑垃圾AI服务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建筑垃圾巡检服务借助无人机搭载高清成像设备与AI识别系统，对城市建筑垃圾堆放点、运输线路等区域开展定期与不定期巡查，每周巡查次数不低于3次，并将采集的图像、视频及位置数据回传至管理平台和分析平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对传回至管理平台和分析平台的数据进行智能分析与建模，支持精准识别建筑垃圾违规堆放、非法倾倒等问题。通过实时数据监测，及时发现环境隐患，为建筑垃圾的动态监管、违规处置行为溯源及整治方案制定提供科学依据，助力城市环境卫生管理的精细化、智能化，保障城市生态环境与市容秩序的持续优化。</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.2</w:t>
      </w:r>
      <w:r>
        <w:rPr>
          <w:rFonts w:hint="eastAsia" w:asciiTheme="minorEastAsia" w:hAnsiTheme="minorEastAsia" w:eastAsiaTheme="minorEastAsia"/>
          <w:bCs/>
          <w:sz w:val="21"/>
          <w:szCs w:val="21"/>
        </w:rPr>
        <w:t xml:space="preserve">水面垃圾AI服务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水面垃圾识别服务通过无人机搭载高分辨率光学相机与智能识别模块，对江河、湖泊等水域开展常态化巡查，每周巡查次数不低于3次，并将采集的水面影像数据实时回传至管理平台和分析平台。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对传回至管理平台和分析平台的数据进行智能分析与建模，支持借助AI算法精准识别塑料垃圾、漂浮物等各类水面垃圾形态与分布。系统自动统计垃圾种类、数量及聚集区域，生成可视化报告与预警信息，为水域环境治理部门提供垃圾分布热力图、溯源分析及清理方案依据，助力水面垃圾的精准管控与高效清理，推动水生态环境的持续改善，保障水域生态系统的健康发展。</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.3</w:t>
      </w:r>
      <w:r>
        <w:rPr>
          <w:rFonts w:hint="eastAsia" w:asciiTheme="minorEastAsia" w:hAnsiTheme="minorEastAsia" w:eastAsiaTheme="minorEastAsia"/>
          <w:bCs/>
          <w:sz w:val="21"/>
          <w:szCs w:val="21"/>
        </w:rPr>
        <w:t xml:space="preserve">蓝藻AI服务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蓝藻识别服务依托无人机搭载高清成像设备与专业算法模型，对湖泊、水库等水体进行周期性与应急性巡查，每周巡查次数不低于3次，并将采集的水体影像数据实时回传至管理平台和分析平台。</w:t>
      </w:r>
      <w:r/>
    </w:p>
    <w:p>
      <w:pPr>
        <w:ind w:firstLine="420"/>
        <w:spacing w:line="276" w:lineRule="auto"/>
        <w:rPr>
          <w:rFonts w:asciiTheme="minorEastAsia" w:hAnsiTheme="minorEastAsia" w:eastAsiaTheme="minorEastAsia"/>
          <w:bCs/>
          <w:sz w:val="21"/>
          <w:szCs w:val="21"/>
        </w:rPr>
      </w:pPr>
      <w:r/>
      <w:bookmarkStart w:id="123" w:name="OLE_LINK84"/>
      <w:r/>
      <w:bookmarkStart w:id="124" w:name="OLE_LINK85"/>
      <w:r>
        <w:rPr>
          <w:rFonts w:hint="eastAsia" w:asciiTheme="minorEastAsia" w:hAnsiTheme="minorEastAsia" w:eastAsiaTheme="minorEastAsia"/>
          <w:bCs/>
          <w:sz w:val="21"/>
          <w:szCs w:val="21"/>
        </w:rPr>
        <w:t xml:space="preserve">支持</w:t>
      </w:r>
      <w:bookmarkEnd w:id="123"/>
      <w:r/>
      <w:bookmarkEnd w:id="124"/>
      <w:r>
        <w:rPr>
          <w:rFonts w:hint="eastAsia" w:asciiTheme="minorEastAsia" w:hAnsiTheme="minorEastAsia" w:eastAsiaTheme="minorEastAsia"/>
          <w:bCs/>
          <w:sz w:val="21"/>
          <w:szCs w:val="21"/>
        </w:rPr>
        <w:t xml:space="preserve">对传回至管理平台和分析平台的数据进行智能分析与建模，通过AI技术精准识别蓝藻的种类、分布范围及聚集密度。支持系统自动生成蓝藻分布热力图，为水环境管理部门提供蓝藻暴发预警、溯源分析及治理措施制定的科学依据，助力水体富营养化的精准防控与水生态平衡的有效维护，保障饮用水安全与水生态系统的健康可持续发展。</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违章搭建AI服务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违章搭建识别服务利用无人机搭载高清变焦相机与AI智能识别系统，对城市建筑区域、城乡结合部等重点区域开展常态化巡查，每周巡查次数不低于3次，并将采集的建筑影像数据实时回传至管理平台和分析平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对回传至管理平台和分析平台的数据进行智能分析与建模，通过算法精准识别未批先建、超规划建设、违规加建等各类违章搭建行为，标注其位置、规模及建筑特征，为城市规划与执法部门提供违章行为溯源、整治优先级排序的科学依据，助力违章搭建的早发现、早处置，保障城市空间规划的有序实施与市容环境的规范管理。</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.5</w:t>
      </w:r>
      <w:r>
        <w:rPr>
          <w:rFonts w:hint="eastAsia" w:asciiTheme="minorEastAsia" w:hAnsiTheme="minorEastAsia" w:eastAsiaTheme="minorEastAsia"/>
          <w:bCs/>
          <w:sz w:val="21"/>
          <w:szCs w:val="21"/>
        </w:rPr>
        <w:t xml:space="preserve">烟火AI服务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烟火识别服务借助无人机搭载红外热成像与高清可见光双镜头设备，对森林、工业园区、城市重点区域等开展全天候巡查，每周巡查次数不低于3次，并将采集的影像数据实时回传至管理平台和分析平台。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对回传至管理平台和分析平台的数据进行智能分析与建模，通过AI算法精准识别烟火热源与烟雾特征，区分正常火源与异常烟火事件。系统自动定位烟火发生位置，生成实时预警与处置建议，为消防、应急管理部门提供火情溯源、扑救方案制定的科学依据，助力烟火隐患的早发现、早处置，有效防范火灾事故，保障区域安全与生态环境的稳定。</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.6</w:t>
      </w:r>
      <w:r>
        <w:rPr>
          <w:rFonts w:hint="eastAsia" w:asciiTheme="minorEastAsia" w:hAnsiTheme="minorEastAsia" w:eastAsiaTheme="minorEastAsia"/>
          <w:bCs/>
          <w:sz w:val="21"/>
          <w:szCs w:val="21"/>
        </w:rPr>
        <w:t xml:space="preserve">占道经营AI服务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占道经营识别服务采用无人机搭载高清全景相机与AI智能分析系统，对城市主次干道、商圈周边、农贸市场等重点区域开展常态化巡查，每周巡查次数不低于3次，并将采集的路面影像数据实时回传至管理平台和分析平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对回传至管理平台和分析平台的路面数据进行智能分析与建模，通过算法精准识别流动摊贩、店外经营、违规堆物等占道经营行为，标注具体位置。支持系统自动生成占道经营分布热力图、高发时段统计，为城市管理与执法部门提供精准执法依据，助力实现占道经营的动态管控与高效整治，保障城市道路通行秩序与市容环境的规范有序。</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.7</w:t>
      </w:r>
      <w:r>
        <w:rPr>
          <w:rFonts w:hint="eastAsia" w:asciiTheme="minorEastAsia" w:hAnsiTheme="minorEastAsia" w:eastAsiaTheme="minorEastAsia"/>
          <w:bCs/>
          <w:sz w:val="21"/>
          <w:szCs w:val="21"/>
        </w:rPr>
        <w:t xml:space="preserve">非法垂钓AI服务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非法垂钓识别服务依托无人机搭载高清变焦相机与AI智能识别系统，对江河、湖泊、水库等禁钓水域开展常态化与专项巡查，每周巡查次数不低于3次，并将采集的水域和岸线影像数据实时回传至管理平台和分析平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对回传至管理平台和分析平台的水域和岸线影像数据进行智能分析与建模，通过算法精准识别非法垂钓人员违规行为，标注具体位置。支持系统自动生成非法垂钓分布图谱、高发时段统计及预警信息，为水利、渔政管理部门提供精准执法依据与整治方向，助力禁钓水域的动态管控与违规行为的快速处置，保障水域生态平衡与渔业资源的可持续发展。</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.8</w:t>
      </w:r>
      <w:r>
        <w:rPr>
          <w:rFonts w:hint="eastAsia" w:asciiTheme="minorEastAsia" w:hAnsiTheme="minorEastAsia" w:eastAsiaTheme="minorEastAsia"/>
          <w:bCs/>
          <w:sz w:val="21"/>
          <w:szCs w:val="21"/>
        </w:rPr>
        <w:t xml:space="preserve">野泳AI服务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野泳识别服务采用无人机搭载高清动态追踪相机与AI智能分析系统，对江河、水库、危险水域等禁泳区域开展全天候巡查，每周巡查次数不低于3次，并将采集的水域影像数据实时回传至管理平台和分析平台。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对回传至管理平台和分析平台的水域影像数据进行智能分析与建模，通过算法精准识别野泳人员数量、位置，快速区分正常临水活动与违规野泳行为。支持系统自动生成野泳风险预警、分布热力图及高发时段统计，为应急管理、水利部门提供实时处置依据，助力快速劝阻违规行为、防范溺水事故。同时支持数据溯源与整治效果跟踪，保障公众涉水安全与水域管理秩序。</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.9</w:t>
      </w:r>
      <w:r>
        <w:rPr>
          <w:rFonts w:hint="eastAsia" w:asciiTheme="minorEastAsia" w:hAnsiTheme="minorEastAsia" w:eastAsiaTheme="minorEastAsia"/>
          <w:bCs/>
          <w:sz w:val="21"/>
          <w:szCs w:val="21"/>
        </w:rPr>
        <w:t xml:space="preserve">车辆违停AI服务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车辆违停识别服务（含机动车与非机动车）采用无人机搭载高清相机与AI智能检测系统，对城市主次干道、商圈周边、禁停路段等重点区域开展常态化巡查，每周巡查次数不低于3次，并将采集的路面影像数据实时回传至管理平台和分析平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对回传至管理平台和分析平台的路面影像数据进行智能分析与建模，通过算法精准区分机动车、非机动车类型，识别违停行为并标注具体位置。支持系统自动生成违停分布热力图、高发路段统计，为交通管理与执法部门提供精准执法依据，助力违停行为的早发现、早整治，保障城市道路通行效率与交通秩序的规范有序。</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.10</w:t>
      </w:r>
      <w:r>
        <w:rPr>
          <w:rFonts w:hint="eastAsia" w:asciiTheme="minorEastAsia" w:hAnsiTheme="minorEastAsia" w:eastAsiaTheme="minorEastAsia"/>
          <w:bCs/>
          <w:sz w:val="21"/>
          <w:szCs w:val="21"/>
        </w:rPr>
        <w:t xml:space="preserve">车牌AI服务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车牌识别服务依托无人机搭载高清变焦相机与车牌专用识别算法，对道路车辆、重点管控区域车辆开展精细化检测，每周巡查次数不低于3次，并将采集的车辆影像数据实时回传至管理平台和分析平台。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对回传至管理平台和分析平台的车辆影像数据进行智能分析与建模，通过AI技术精准提取车辆特征，快速识别机动车号牌号码核心信息。支持复杂环境下的高效识别，可应对不同光照、角度及遮挡场景，自动生成车辆信息台账与识别结果报表，为交通执法、安防管控、车辆溯源等提供精准数据支撑，助力车辆管理的精细化与智能化，保障区域交通秩序与安全管控的高效落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asciiTheme="minorEastAsia" w:hAnsiTheme="minorEastAsia" w:eastAsiaTheme="minorEastAsia"/>
          <w:bCs/>
          <w:sz w:val="21"/>
          <w:szCs w:val="21"/>
        </w:rPr>
        <w:t xml:space="preserve">.11</w:t>
      </w:r>
      <w:r>
        <w:rPr>
          <w:rFonts w:hint="eastAsia" w:asciiTheme="minorEastAsia" w:hAnsiTheme="minorEastAsia" w:eastAsiaTheme="minorEastAsia"/>
          <w:bCs/>
          <w:sz w:val="21"/>
          <w:szCs w:val="21"/>
        </w:rPr>
        <w:t xml:space="preserve">裸土覆盖AI服务</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裸土覆盖巡检服务采用无人机搭载高清航拍相机与AI智能分析系统，对建筑工地、拆迁现场等施工区域开展常态化巡查，每周巡查次数不低于3次，并将采集的场地影像数据实时回传至管理平台和分析平台。</w:t>
      </w:r>
      <w:r/>
    </w:p>
    <w:p>
      <w:pPr>
        <w:ind w:firstLine="420"/>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支持对回传至管理平台和分析平台的场地影像数据进行智能分析与建模，通过算法精准识别裸土区域，判断是否按规范覆盖绿布或黑网，标注未覆盖裸土的位置。为住建、环保部门提供扬尘防控监管依据，助力施工场地的精细化管理，有效抑制扬尘污染，保障空气质量与施工环境的规范有序。</w:t>
      </w:r>
      <w:r/>
    </w:p>
    <w:p>
      <w:pPr>
        <w:ind w:firstLine="420"/>
        <w:jc w:val="left"/>
        <w:spacing w:line="276" w:lineRule="auto"/>
        <w:rPr>
          <w:rFonts w:asciiTheme="minorEastAsia" w:hAnsiTheme="minorEastAsia" w:eastAsiaTheme="minorEastAsia"/>
          <w:b/>
          <w:bCs/>
          <w:sz w:val="21"/>
          <w:szCs w:val="21"/>
        </w:rPr>
        <w:outlineLvl w:val="2"/>
      </w:pPr>
      <w:r>
        <w:rPr>
          <w:rFonts w:hint="eastAsia" w:asciiTheme="minorEastAsia" w:hAnsiTheme="minorEastAsia" w:eastAsiaTheme="minorEastAsia"/>
          <w:b/>
          <w:bCs/>
          <w:sz w:val="21"/>
          <w:szCs w:val="21"/>
        </w:rPr>
        <w:t xml:space="preserve">（四）支撑技术要求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为满足本项目技术要求，配套设施资源包括但不限于以下设备支撑：</w:t>
      </w:r>
      <w:r/>
    </w:p>
    <w:tbl>
      <w:tblPr>
        <w:tblStyle w:val="87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235"/>
        <w:gridCol w:w="789"/>
        <w:gridCol w:w="7217"/>
      </w:tblGrid>
      <w:tr>
        <w:trPr>
          <w:jc w:val="center"/>
          <w:trHeight w:val="812"/>
          <w:tblHeader/>
        </w:trPr>
        <w:tc>
          <w:tcPr>
            <w:tcW w:w="362" w:type="pct"/>
            <w:vAlign w:val="center"/>
            <w:textDirection w:val="lrTb"/>
            <w:noWrap w:val="false"/>
          </w:tcPr>
          <w:p>
            <w:pPr>
              <w:jc w:val="center"/>
              <w:spacing w:line="276"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tcW w:w="620" w:type="pct"/>
            <w:vAlign w:val="center"/>
            <w:textDirection w:val="lrTb"/>
            <w:noWrap w:val="false"/>
          </w:tcPr>
          <w:p>
            <w:pPr>
              <w:jc w:val="center"/>
              <w:spacing w:line="276"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设备名称</w:t>
            </w:r>
            <w:r/>
          </w:p>
        </w:tc>
        <w:tc>
          <w:tcPr>
            <w:tcW w:w="396" w:type="pct"/>
            <w:vAlign w:val="center"/>
            <w:textDirection w:val="lrTb"/>
            <w:noWrap w:val="false"/>
          </w:tcPr>
          <w:p>
            <w:pPr>
              <w:jc w:val="center"/>
              <w:spacing w:line="276"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单位</w:t>
            </w:r>
            <w:r/>
          </w:p>
        </w:tc>
        <w:tc>
          <w:tcPr>
            <w:tcW w:w="3622" w:type="pct"/>
            <w:vAlign w:val="center"/>
            <w:textDirection w:val="lrTb"/>
            <w:noWrap w:val="false"/>
          </w:tcPr>
          <w:p>
            <w:pPr>
              <w:jc w:val="center"/>
              <w:spacing w:line="276"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技术参数和功能要求</w:t>
            </w:r>
            <w:r/>
          </w:p>
        </w:tc>
      </w:tr>
      <w:tr>
        <w:trPr>
          <w:jc w:val="center"/>
        </w:trPr>
        <w:tc>
          <w:tcPr>
            <w:tcW w:w="362" w:type="pct"/>
            <w:vAlign w:val="center"/>
            <w:textDirection w:val="lrTb"/>
            <w:noWrap w:val="false"/>
          </w:tcPr>
          <w:p>
            <w:pPr>
              <w:jc w:val="center"/>
              <w:spacing w:line="276" w:lineRule="auto"/>
              <w:rPr>
                <w:rFonts w:cs="宋体" w:asciiTheme="minorEastAsia" w:hAnsiTheme="minorEastAsia" w:eastAsiaTheme="minorEastAsia"/>
                <w:sz w:val="21"/>
                <w:szCs w:val="21"/>
              </w:rPr>
            </w:pPr>
            <w:r/>
            <w:bookmarkStart w:id="125" w:name="_Hlk218683820"/>
            <w:r>
              <w:rPr>
                <w:rFonts w:hint="eastAsia" w:cs="宋体" w:asciiTheme="minorEastAsia" w:hAnsiTheme="minorEastAsia" w:eastAsiaTheme="minorEastAsia"/>
                <w:sz w:val="21"/>
                <w:szCs w:val="21"/>
              </w:rPr>
              <w:t xml:space="preserve">1</w:t>
            </w:r>
            <w:r/>
          </w:p>
        </w:tc>
        <w:tc>
          <w:tcPr>
            <w:tcW w:w="62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无人机场</w:t>
            </w:r>
            <w:r/>
          </w:p>
        </w:tc>
        <w:tc>
          <w:tcPr>
            <w:tcW w:w="396"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套</w:t>
            </w:r>
            <w:r/>
          </w:p>
        </w:tc>
        <w:tc>
          <w:tcPr>
            <w:tcW w:w="362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1、整机重量：≤35kg（不含飞行器）；</w:t>
            </w:r>
            <w:r/>
          </w:p>
          <w:p>
            <w:pPr>
              <w:spacing w:line="276" w:lineRule="auto"/>
              <w:rPr>
                <w:rFonts w:cs="宋体" w:asciiTheme="minorEastAsia" w:hAnsiTheme="minorEastAsia" w:eastAsiaTheme="minorEastAsia"/>
                <w:b/>
                <w:bCs/>
                <w:sz w:val="21"/>
                <w:szCs w:val="21"/>
              </w:rPr>
            </w:pPr>
            <w:r>
              <w:rPr>
                <w:rFonts w:hint="eastAsia" w:cs="宋体" w:asciiTheme="minorEastAsia" w:hAnsiTheme="minorEastAsia" w:eastAsiaTheme="minorEastAsia"/>
                <w:sz w:val="21"/>
                <w:szCs w:val="21"/>
              </w:rPr>
              <w:t xml:space="preserve">2、外形尺寸：舱盖开启：≤长1228mm×宽583mm×高412mm；</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3、工作环境温度：设备工作温度范围不小于-25～45℃；</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4、防护等级：不低于IP55；</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5、设备最短作业间隔：≤35min；</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6、网络接入：设备支持通过4G实现网络接入；</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7、最大抗风速度：</w:t>
            </w:r>
            <w:bookmarkStart w:id="126" w:name="OLE_LINK86"/>
            <w:r/>
            <w:bookmarkStart w:id="127" w:name="OLE_LINK87"/>
            <w:r>
              <w:rPr>
                <w:rFonts w:hint="eastAsia" w:cs="宋体" w:asciiTheme="minorEastAsia" w:hAnsiTheme="minorEastAsia" w:eastAsiaTheme="minorEastAsia"/>
                <w:sz w:val="21"/>
                <w:szCs w:val="21"/>
              </w:rPr>
              <w:t xml:space="preserve">≥</w:t>
            </w:r>
            <w:bookmarkEnd w:id="126"/>
            <w:r/>
            <w:bookmarkEnd w:id="127"/>
            <w:r>
              <w:rPr>
                <w:rFonts w:hint="eastAsia" w:cs="宋体" w:asciiTheme="minorEastAsia" w:hAnsiTheme="minorEastAsia" w:eastAsiaTheme="minorEastAsia"/>
                <w:sz w:val="21"/>
                <w:szCs w:val="21"/>
              </w:rPr>
              <w:t xml:space="preserve">12m/s；</w:t>
            </w:r>
            <w:r/>
          </w:p>
          <w:p>
            <w:pPr>
              <w:spacing w:line="276" w:lineRule="auto"/>
              <w:rPr>
                <w:rFonts w:cs="宋体" w:asciiTheme="minorEastAsia" w:hAnsiTheme="minorEastAsia" w:eastAsiaTheme="minorEastAsia"/>
                <w:b/>
                <w:bCs/>
                <w:sz w:val="21"/>
                <w:szCs w:val="21"/>
              </w:rPr>
            </w:pPr>
            <w:r>
              <w:rPr>
                <w:rFonts w:hint="eastAsia" w:cs="宋体" w:asciiTheme="minorEastAsia" w:hAnsiTheme="minorEastAsia" w:eastAsiaTheme="minorEastAsia"/>
                <w:sz w:val="21"/>
                <w:szCs w:val="21"/>
              </w:rPr>
              <w:t xml:space="preserve">8、RTK基站定位精准度：设备所含RTK基站定位精度：水平精度≤1cm+1ppm（RMS）垂直精度≤2cm+1ppm（RMS）；</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9、传感器：配备风速传感器；雨量传感器；环境温度传感器；水浸传感器；舱内温度传感器；舱内湿度传感器</w:t>
            </w:r>
            <w:r>
              <w:rPr>
                <w:rFonts w:cs="宋体" w:asciiTheme="minorEastAsia" w:hAnsiTheme="minorEastAsia" w:eastAsiaTheme="minorEastAsia"/>
                <w:sz w:val="21"/>
                <w:szCs w:val="21"/>
              </w:rPr>
              <w:t xml:space="preserve">。</w:t>
            </w:r>
            <w:bookmarkEnd w:id="125"/>
            <w:r/>
            <w:r/>
          </w:p>
        </w:tc>
      </w:tr>
      <w:tr>
        <w:trPr>
          <w:jc w:val="center"/>
        </w:trPr>
        <w:tc>
          <w:tcPr>
            <w:tcW w:w="362" w:type="pct"/>
            <w:vAlign w:val="center"/>
            <w:textDirection w:val="lrTb"/>
            <w:noWrap w:val="false"/>
          </w:tcPr>
          <w:p>
            <w:pPr>
              <w:jc w:val="center"/>
              <w:spacing w:line="276" w:lineRule="auto"/>
              <w:rPr>
                <w:rFonts w:cs="宋体" w:asciiTheme="minorEastAsia" w:hAnsiTheme="minorEastAsia" w:eastAsiaTheme="minorEastAsia"/>
                <w:sz w:val="21"/>
                <w:szCs w:val="21"/>
              </w:rPr>
            </w:pPr>
            <w:r/>
            <w:bookmarkStart w:id="128" w:name="_Hlk218683837"/>
            <w:r>
              <w:rPr>
                <w:rFonts w:hint="eastAsia" w:cs="宋体" w:asciiTheme="minorEastAsia" w:hAnsiTheme="minorEastAsia" w:eastAsiaTheme="minorEastAsia"/>
                <w:sz w:val="21"/>
                <w:szCs w:val="21"/>
              </w:rPr>
              <w:t xml:space="preserve">2</w:t>
            </w:r>
            <w:r/>
          </w:p>
        </w:tc>
        <w:tc>
          <w:tcPr>
            <w:tcW w:w="62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机场专配无人机</w:t>
            </w:r>
            <w:r/>
          </w:p>
        </w:tc>
        <w:tc>
          <w:tcPr>
            <w:tcW w:w="396"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台</w:t>
            </w:r>
            <w:r/>
          </w:p>
        </w:tc>
        <w:tc>
          <w:tcPr>
            <w:tcW w:w="362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1、裸机重量：≤1450g；</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2、最大起飞重量：≥1500g；</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3、最长飞行时间：≥50分钟；</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4、最大水平飞行速度：≥20米/秒；</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5、定位悬停精度：无人机支持RTK基站定位，在RTK基站正常工作时飞行器悬停精度水平≤±0.1m；垂直≤±0.1m；</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6、相机类型：具有长焦可见光、广角可见光和红外热成像相机；</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7、广角相机像素：具备广角相机，有效像素不低于4800万；</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8、红外传感器分辨率：≥640*512像素；</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9、红外传感器帧率：≥30Hz；</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10、稳定系统：具备三轴机械增稳云台（俯仰、横滚、平移）。</w:t>
            </w:r>
            <w:bookmarkEnd w:id="128"/>
            <w:r/>
            <w:r/>
          </w:p>
        </w:tc>
      </w:tr>
    </w:tbl>
    <w:p>
      <w:pPr>
        <w:spacing w:line="276" w:lineRule="auto"/>
        <w:rPr>
          <w:rFonts w:asciiTheme="minorEastAsia" w:hAnsiTheme="minorEastAsia" w:eastAsiaTheme="minorEastAsia"/>
          <w:b/>
          <w:sz w:val="21"/>
          <w:szCs w:val="21"/>
        </w:rPr>
        <w:outlineLvl w:val="2"/>
      </w:pPr>
      <w:r>
        <w:rPr>
          <w:rFonts w:hint="eastAsia" w:asciiTheme="minorEastAsia" w:hAnsiTheme="minorEastAsia" w:eastAsiaTheme="minorEastAsia"/>
          <w:b/>
          <w:sz w:val="21"/>
          <w:szCs w:val="21"/>
        </w:rPr>
        <w:t xml:space="preserve">（五）项目服务保障要求</w:t>
      </w:r>
      <w:r/>
    </w:p>
    <w:p>
      <w:pPr>
        <w:ind w:firstLine="420"/>
        <w:jc w:val="left"/>
        <w:spacing w:line="276" w:lineRule="auto"/>
        <w:rPr>
          <w:rFonts w:asciiTheme="minorEastAsia" w:hAnsiTheme="minorEastAsia" w:eastAsiaTheme="minorEastAsia"/>
          <w:b/>
          <w:sz w:val="21"/>
          <w:szCs w:val="21"/>
        </w:rPr>
        <w:outlineLvl w:val="3"/>
      </w:pPr>
      <w:r>
        <w:rPr>
          <w:rFonts w:hint="eastAsia" w:asciiTheme="minorEastAsia" w:hAnsiTheme="minorEastAsia" w:eastAsiaTheme="minorEastAsia"/>
          <w:b/>
          <w:sz w:val="21"/>
          <w:szCs w:val="21"/>
        </w:rPr>
        <w:t xml:space="preserve">1.项目实施要求</w:t>
      </w:r>
      <w:r/>
    </w:p>
    <w:p>
      <w:pPr>
        <w:ind w:firstLine="420"/>
        <w:jc w:val="left"/>
        <w:spacing w:line="276"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（1）实施团队要求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为能保证在规定时间内完成项目建设，要求供应商针对本项目配备实施团队，具体要求如下：</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项目经理1人，负责跟踪推进项目工作和问题的协调落实；要求具备信息系统项目管理、系统集成、信息安全、信息安全保障、互联网技术相关等方面的技术专业，具有相关工作管理经验；</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技术负责人1人，负责项目具体实施技术方面工作，要求具备网络工程、系统分析、信息系统项目管理等方面的技术专业，具有相关工作经验；</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运维负责人1人，负责项目具体项目运维方面工作，要求具备网络工程、IT服务、信息安全保障等方面的技术专业，具有相关工作经验；</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除项目经理、技术负责人和运维负责人外其他实施团队成员配备不少于</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人，要求具备数据库、网络规划等方面的专业技术，并根据需要配备相应人员现场保障等，能够顺利开展项目实施工作。</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本着</w:t>
      </w:r>
      <w:r>
        <w:rPr>
          <w:rFonts w:hint="eastAsia" w:cs="微软雅黑" w:asciiTheme="minorEastAsia" w:hAnsiTheme="minorEastAsia" w:eastAsiaTheme="minorEastAsia"/>
          <w:sz w:val="21"/>
          <w:szCs w:val="21"/>
        </w:rPr>
        <w:t xml:space="preserve">认</w:t>
      </w:r>
      <w:r>
        <w:rPr>
          <w:rFonts w:cs="MS Gothic" w:asciiTheme="minorEastAsia" w:hAnsiTheme="minorEastAsia" w:eastAsiaTheme="minorEastAsia"/>
          <w:sz w:val="21"/>
          <w:szCs w:val="21"/>
        </w:rPr>
        <w:t xml:space="preserve">真</w:t>
      </w:r>
      <w:r>
        <w:rPr>
          <w:rFonts w:hint="eastAsia" w:cs="微软雅黑" w:asciiTheme="minorEastAsia" w:hAnsiTheme="minorEastAsia" w:eastAsiaTheme="minorEastAsia"/>
          <w:sz w:val="21"/>
          <w:szCs w:val="21"/>
        </w:rPr>
        <w:t xml:space="preserve">负责</w:t>
      </w:r>
      <w:r>
        <w:rPr>
          <w:rFonts w:cs="MS Gothic" w:asciiTheme="minorEastAsia" w:hAnsiTheme="minorEastAsia" w:eastAsiaTheme="minorEastAsia"/>
          <w:sz w:val="21"/>
          <w:szCs w:val="21"/>
        </w:rPr>
        <w:t xml:space="preserve">的</w:t>
      </w:r>
      <w:r>
        <w:rPr>
          <w:rFonts w:hint="eastAsia" w:cs="微软雅黑" w:asciiTheme="minorEastAsia" w:hAnsiTheme="minorEastAsia" w:eastAsiaTheme="minorEastAsia"/>
          <w:sz w:val="21"/>
          <w:szCs w:val="21"/>
        </w:rPr>
        <w:t xml:space="preserve">态</w:t>
      </w:r>
      <w:r>
        <w:rPr>
          <w:rFonts w:cs="MS Gothic" w:asciiTheme="minorEastAsia" w:hAnsiTheme="minorEastAsia" w:eastAsiaTheme="minorEastAsia"/>
          <w:sz w:val="21"/>
          <w:szCs w:val="21"/>
        </w:rPr>
        <w:t xml:space="preserve">度</w:t>
      </w:r>
      <w:r>
        <w:rPr>
          <w:rFonts w:hint="eastAsia" w:cs="微软雅黑" w:asciiTheme="minorEastAsia" w:hAnsiTheme="minorEastAsia" w:eastAsiaTheme="minorEastAsia"/>
          <w:sz w:val="21"/>
          <w:szCs w:val="21"/>
        </w:rPr>
        <w:t xml:space="preserve">组织项</w:t>
      </w:r>
      <w:r>
        <w:rPr>
          <w:rFonts w:cs="MS Gothic" w:asciiTheme="minorEastAsia" w:hAnsiTheme="minorEastAsia" w:eastAsiaTheme="minorEastAsia"/>
          <w:sz w:val="21"/>
          <w:szCs w:val="21"/>
        </w:rPr>
        <w:t xml:space="preserve">目</w:t>
      </w:r>
      <w:r>
        <w:rPr>
          <w:rFonts w:hint="eastAsia" w:cs="微软雅黑" w:asciiTheme="minorEastAsia" w:hAnsiTheme="minorEastAsia" w:eastAsiaTheme="minorEastAsia"/>
          <w:sz w:val="21"/>
          <w:szCs w:val="21"/>
        </w:rPr>
        <w:t xml:space="preserve">团队</w:t>
      </w:r>
      <w:r>
        <w:rPr>
          <w:rFonts w:cs="MS Gothic" w:asciiTheme="minorEastAsia" w:hAnsiTheme="minorEastAsia" w:eastAsiaTheme="minorEastAsia"/>
          <w:sz w:val="21"/>
          <w:szCs w:val="21"/>
        </w:rPr>
        <w:t xml:space="preserve">，响</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文件中的</w:t>
      </w:r>
      <w:r>
        <w:rPr>
          <w:rFonts w:hint="eastAsia" w:cs="微软雅黑" w:asciiTheme="minorEastAsia" w:hAnsiTheme="minorEastAsia" w:eastAsiaTheme="minorEastAsia"/>
          <w:sz w:val="21"/>
          <w:szCs w:val="21"/>
        </w:rPr>
        <w:t xml:space="preserve">项</w:t>
      </w:r>
      <w:r>
        <w:rPr>
          <w:rFonts w:cs="MS Gothic" w:asciiTheme="minorEastAsia" w:hAnsiTheme="minorEastAsia" w:eastAsiaTheme="minorEastAsia"/>
          <w:sz w:val="21"/>
          <w:szCs w:val="21"/>
        </w:rPr>
        <w:t xml:space="preserve">目</w:t>
      </w:r>
      <w:r>
        <w:rPr>
          <w:rFonts w:hint="eastAsia" w:cs="微软雅黑" w:asciiTheme="minorEastAsia" w:hAnsiTheme="minorEastAsia" w:eastAsiaTheme="minorEastAsia"/>
          <w:sz w:val="21"/>
          <w:szCs w:val="21"/>
        </w:rPr>
        <w:t xml:space="preserve">组</w:t>
      </w:r>
      <w:r>
        <w:rPr>
          <w:rFonts w:cs="MS Gothic" w:asciiTheme="minorEastAsia" w:hAnsiTheme="minorEastAsia" w:eastAsiaTheme="minorEastAsia"/>
          <w:sz w:val="21"/>
          <w:szCs w:val="21"/>
        </w:rPr>
        <w:t xml:space="preserve">主要成</w:t>
      </w:r>
      <w:r>
        <w:rPr>
          <w:rFonts w:hint="eastAsia" w:cs="微软雅黑" w:asciiTheme="minorEastAsia" w:hAnsiTheme="minorEastAsia" w:eastAsiaTheme="minorEastAsia"/>
          <w:sz w:val="21"/>
          <w:szCs w:val="21"/>
        </w:rPr>
        <w:t xml:space="preserve">员</w:t>
      </w:r>
      <w:r>
        <w:rPr>
          <w:rFonts w:cs="MS Gothic" w:asciiTheme="minorEastAsia" w:hAnsiTheme="minorEastAsia" w:eastAsiaTheme="minorEastAsia"/>
          <w:sz w:val="21"/>
          <w:szCs w:val="21"/>
        </w:rPr>
        <w:t xml:space="preserve">名</w:t>
      </w:r>
      <w:r>
        <w:rPr>
          <w:rFonts w:hint="eastAsia" w:cs="微软雅黑" w:asciiTheme="minorEastAsia" w:hAnsiTheme="minorEastAsia" w:eastAsiaTheme="minorEastAsia"/>
          <w:sz w:val="21"/>
          <w:szCs w:val="21"/>
        </w:rPr>
        <w:t xml:space="preserve">单</w:t>
      </w:r>
      <w:r>
        <w:rPr>
          <w:rFonts w:cs="MS Gothic" w:asciiTheme="minorEastAsia" w:hAnsiTheme="minorEastAsia" w:eastAsiaTheme="minorEastAsia"/>
          <w:sz w:val="21"/>
          <w:szCs w:val="21"/>
        </w:rPr>
        <w:t xml:space="preserve">，在成交后不</w:t>
      </w:r>
      <w:r>
        <w:rPr>
          <w:rFonts w:hint="eastAsia" w:cs="微软雅黑" w:asciiTheme="minorEastAsia" w:hAnsiTheme="minorEastAsia" w:eastAsiaTheme="minorEastAsia"/>
          <w:sz w:val="21"/>
          <w:szCs w:val="21"/>
        </w:rPr>
        <w:t xml:space="preserve">经</w:t>
      </w:r>
      <w:r>
        <w:rPr>
          <w:rFonts w:cs="MS Gothic" w:asciiTheme="minorEastAsia" w:hAnsiTheme="minorEastAsia" w:eastAsiaTheme="minorEastAsia"/>
          <w:sz w:val="21"/>
          <w:szCs w:val="21"/>
        </w:rPr>
        <w:t xml:space="preserve">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人允</w:t>
      </w:r>
      <w:r>
        <w:rPr>
          <w:rFonts w:hint="eastAsia" w:cs="微软雅黑" w:asciiTheme="minorEastAsia" w:hAnsiTheme="minorEastAsia" w:eastAsiaTheme="minorEastAsia"/>
          <w:sz w:val="21"/>
          <w:szCs w:val="21"/>
        </w:rPr>
        <w:t xml:space="preserve">许</w:t>
      </w:r>
      <w:r>
        <w:rPr>
          <w:rFonts w:cs="MS Gothic" w:asciiTheme="minorEastAsia" w:hAnsiTheme="minorEastAsia" w:eastAsiaTheme="minorEastAsia"/>
          <w:sz w:val="21"/>
          <w:szCs w:val="21"/>
        </w:rPr>
        <w:t xml:space="preserve">不得随意更</w:t>
      </w:r>
      <w:r>
        <w:rPr>
          <w:rFonts w:hint="eastAsia" w:cs="微软雅黑" w:asciiTheme="minorEastAsia" w:hAnsiTheme="minorEastAsia" w:eastAsiaTheme="minorEastAsia"/>
          <w:sz w:val="21"/>
          <w:szCs w:val="21"/>
        </w:rPr>
        <w:t xml:space="preserve">换</w:t>
      </w:r>
      <w:r>
        <w:rPr>
          <w:rFonts w:cs="MS Gothic" w:asciiTheme="minorEastAsia" w:hAnsiTheme="minorEastAsia" w:eastAsiaTheme="minorEastAsia"/>
          <w:sz w:val="21"/>
          <w:szCs w:val="21"/>
        </w:rPr>
        <w:t xml:space="preserve">，否</w:t>
      </w:r>
      <w:r>
        <w:rPr>
          <w:rFonts w:hint="eastAsia" w:cs="微软雅黑" w:asciiTheme="minorEastAsia" w:hAnsiTheme="minorEastAsia" w:eastAsiaTheme="minorEastAsia"/>
          <w:sz w:val="21"/>
          <w:szCs w:val="21"/>
        </w:rPr>
        <w:t xml:space="preserve">则</w:t>
      </w:r>
      <w:r>
        <w:rPr>
          <w:rFonts w:cs="MS Gothic" w:asciiTheme="minorEastAsia" w:hAnsiTheme="minorEastAsia" w:eastAsiaTheme="minorEastAsia"/>
          <w:sz w:val="21"/>
          <w:szCs w:val="21"/>
        </w:rPr>
        <w:t xml:space="preserve">，采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人有</w:t>
      </w:r>
      <w:r>
        <w:rPr>
          <w:rFonts w:hint="eastAsia" w:cs="微软雅黑" w:asciiTheme="minorEastAsia" w:hAnsiTheme="minorEastAsia" w:eastAsiaTheme="minorEastAsia"/>
          <w:sz w:val="21"/>
          <w:szCs w:val="21"/>
        </w:rPr>
        <w:t xml:space="preserve">权</w:t>
      </w:r>
      <w:r>
        <w:rPr>
          <w:rFonts w:cs="MS Gothic" w:asciiTheme="minorEastAsia" w:hAnsiTheme="minorEastAsia" w:eastAsiaTheme="minorEastAsia"/>
          <w:sz w:val="21"/>
          <w:szCs w:val="21"/>
        </w:rPr>
        <w:t xml:space="preserve">作</w:t>
      </w:r>
      <w:r>
        <w:rPr>
          <w:rFonts w:hint="eastAsia" w:cs="微软雅黑" w:asciiTheme="minorEastAsia" w:hAnsiTheme="minorEastAsia" w:eastAsiaTheme="minorEastAsia"/>
          <w:sz w:val="21"/>
          <w:szCs w:val="21"/>
        </w:rPr>
        <w:t xml:space="preserve">为违约处</w:t>
      </w:r>
      <w:r>
        <w:rPr>
          <w:rFonts w:cs="MS Gothic" w:asciiTheme="minorEastAsia" w:hAnsiTheme="minorEastAsia" w:eastAsiaTheme="minorEastAsia"/>
          <w:sz w:val="21"/>
          <w:szCs w:val="21"/>
        </w:rPr>
        <w:t xml:space="preserve">理直至</w:t>
      </w:r>
      <w:r>
        <w:rPr>
          <w:rFonts w:hint="eastAsia" w:cs="微软雅黑" w:asciiTheme="minorEastAsia" w:hAnsiTheme="minorEastAsia" w:eastAsiaTheme="minorEastAsia"/>
          <w:sz w:val="21"/>
          <w:szCs w:val="21"/>
        </w:rPr>
        <w:t xml:space="preserve">终</w:t>
      </w:r>
      <w:r>
        <w:rPr>
          <w:rFonts w:cs="MS Gothic" w:asciiTheme="minorEastAsia" w:hAnsiTheme="minorEastAsia" w:eastAsiaTheme="minorEastAsia"/>
          <w:sz w:val="21"/>
          <w:szCs w:val="21"/>
        </w:rPr>
        <w:t xml:space="preserve">止合同。</w:t>
      </w:r>
      <w:r/>
    </w:p>
    <w:p>
      <w:pPr>
        <w:ind w:firstLine="420"/>
        <w:jc w:val="left"/>
        <w:spacing w:line="276" w:lineRule="auto"/>
        <w:rPr>
          <w:rFonts w:asciiTheme="minorEastAsia" w:hAnsiTheme="minorEastAsia" w:eastAsiaTheme="minorEastAsia"/>
          <w:b/>
          <w:sz w:val="21"/>
          <w:szCs w:val="21"/>
        </w:rPr>
        <w:outlineLvl w:val="3"/>
      </w:pPr>
      <w:r>
        <w:rPr>
          <w:rFonts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.项</w:t>
      </w:r>
      <w:r>
        <w:rPr>
          <w:rFonts w:asciiTheme="minorEastAsia" w:hAnsiTheme="minorEastAsia" w:eastAsiaTheme="minorEastAsia"/>
          <w:b/>
          <w:sz w:val="21"/>
          <w:szCs w:val="21"/>
        </w:rPr>
        <w:t xml:space="preserve">目管理要求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）提供完整且合理的</w:t>
      </w:r>
      <w:r>
        <w:rPr>
          <w:rFonts w:hint="eastAsia" w:cs="微软雅黑" w:asciiTheme="minorEastAsia" w:hAnsiTheme="minorEastAsia" w:eastAsiaTheme="minorEastAsia"/>
          <w:sz w:val="21"/>
          <w:szCs w:val="21"/>
        </w:rPr>
        <w:t xml:space="preserve">项</w:t>
      </w:r>
      <w:r>
        <w:rPr>
          <w:rFonts w:cs="MS Gothic" w:asciiTheme="minorEastAsia" w:hAnsiTheme="minorEastAsia" w:eastAsiaTheme="minorEastAsia"/>
          <w:sz w:val="21"/>
          <w:szCs w:val="21"/>
        </w:rPr>
        <w:t xml:space="preserve">目</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施方案，</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包含完善可行的</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施</w:t>
      </w:r>
      <w:r>
        <w:rPr>
          <w:rFonts w:hint="eastAsia" w:cs="微软雅黑" w:asciiTheme="minorEastAsia" w:hAnsiTheme="minorEastAsia" w:eastAsiaTheme="minorEastAsia"/>
          <w:sz w:val="21"/>
          <w:szCs w:val="21"/>
        </w:rPr>
        <w:t xml:space="preserve">计</w:t>
      </w:r>
      <w:r>
        <w:rPr>
          <w:rFonts w:cs="MS Gothic" w:asciiTheme="minorEastAsia" w:hAnsiTheme="minorEastAsia" w:eastAsiaTheme="minorEastAsia"/>
          <w:sz w:val="21"/>
          <w:szCs w:val="21"/>
        </w:rPr>
        <w:t xml:space="preserve">划、人</w:t>
      </w:r>
      <w:r>
        <w:rPr>
          <w:rFonts w:hint="eastAsia" w:cs="微软雅黑" w:asciiTheme="minorEastAsia" w:hAnsiTheme="minorEastAsia" w:eastAsiaTheme="minorEastAsia"/>
          <w:sz w:val="21"/>
          <w:szCs w:val="21"/>
        </w:rPr>
        <w:t xml:space="preserve">员组</w:t>
      </w:r>
      <w:r>
        <w:rPr>
          <w:rFonts w:cs="MS Gothic" w:asciiTheme="minorEastAsia" w:hAnsiTheme="minorEastAsia" w:eastAsiaTheme="minorEastAsia"/>
          <w:sz w:val="21"/>
          <w:szCs w:val="21"/>
        </w:rPr>
        <w:t xml:space="preserve">成、管理方案等。</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）根据采</w:t>
      </w:r>
      <w:r>
        <w:rPr>
          <w:rFonts w:hint="eastAsia" w:cs="微软雅黑" w:asciiTheme="minorEastAsia" w:hAnsiTheme="minorEastAsia" w:eastAsiaTheme="minorEastAsia"/>
          <w:sz w:val="21"/>
          <w:szCs w:val="21"/>
        </w:rPr>
        <w:t xml:space="preserve">购</w:t>
      </w:r>
      <w:r>
        <w:rPr>
          <w:rFonts w:cs="MS Gothic" w:asciiTheme="minorEastAsia" w:hAnsiTheme="minorEastAsia" w:eastAsiaTheme="minorEastAsia"/>
          <w:sz w:val="21"/>
          <w:szCs w:val="21"/>
        </w:rPr>
        <w:t xml:space="preserve">人的技</w:t>
      </w:r>
      <w:r>
        <w:rPr>
          <w:rFonts w:hint="eastAsia" w:cs="微软雅黑" w:asciiTheme="minorEastAsia" w:hAnsiTheme="minorEastAsia" w:eastAsiaTheme="minorEastAsia"/>
          <w:sz w:val="21"/>
          <w:szCs w:val="21"/>
        </w:rPr>
        <w:t xml:space="preserve">术</w:t>
      </w:r>
      <w:r>
        <w:rPr>
          <w:rFonts w:cs="MS Gothic" w:asciiTheme="minorEastAsia" w:hAnsiTheme="minorEastAsia" w:eastAsiaTheme="minorEastAsia"/>
          <w:sz w:val="21"/>
          <w:szCs w:val="21"/>
        </w:rPr>
        <w:t xml:space="preserve">要求，以及服</w:t>
      </w:r>
      <w:r>
        <w:rPr>
          <w:rFonts w:hint="eastAsia" w:cs="微软雅黑" w:asciiTheme="minorEastAsia" w:hAnsiTheme="minorEastAsia" w:eastAsiaTheme="minorEastAsia"/>
          <w:sz w:val="21"/>
          <w:szCs w:val="21"/>
        </w:rPr>
        <w:t xml:space="preserve">务规</w:t>
      </w:r>
      <w:r>
        <w:rPr>
          <w:rFonts w:cs="MS Gothic" w:asciiTheme="minorEastAsia" w:hAnsiTheme="minorEastAsia" w:eastAsiaTheme="minorEastAsia"/>
          <w:sz w:val="21"/>
          <w:szCs w:val="21"/>
        </w:rPr>
        <w:t xml:space="preserve">范、</w:t>
      </w:r>
      <w:r>
        <w:rPr>
          <w:rFonts w:hint="eastAsia" w:cs="微软雅黑" w:asciiTheme="minorEastAsia" w:hAnsiTheme="minorEastAsia" w:eastAsiaTheme="minorEastAsia"/>
          <w:sz w:val="21"/>
          <w:szCs w:val="21"/>
        </w:rPr>
        <w:t xml:space="preserve">规</w:t>
      </w:r>
      <w:r>
        <w:rPr>
          <w:rFonts w:cs="MS Gothic" w:asciiTheme="minorEastAsia" w:hAnsiTheme="minorEastAsia" w:eastAsiaTheme="minorEastAsia"/>
          <w:sz w:val="21"/>
          <w:szCs w:val="21"/>
        </w:rPr>
        <w:t xml:space="preserve">程等</w:t>
      </w:r>
      <w:r>
        <w:rPr>
          <w:rFonts w:hint="eastAsia" w:cs="微软雅黑" w:asciiTheme="minorEastAsia" w:hAnsiTheme="minorEastAsia" w:eastAsiaTheme="minorEastAsia"/>
          <w:sz w:val="21"/>
          <w:szCs w:val="21"/>
        </w:rPr>
        <w:t xml:space="preserve">进</w:t>
      </w:r>
      <w:r>
        <w:rPr>
          <w:rFonts w:cs="MS Gothic" w:asciiTheme="minorEastAsia" w:hAnsiTheme="minorEastAsia" w:eastAsiaTheme="minorEastAsia"/>
          <w:sz w:val="21"/>
          <w:szCs w:val="21"/>
        </w:rPr>
        <w:t xml:space="preserve">行服</w:t>
      </w:r>
      <w:r>
        <w:rPr>
          <w:rFonts w:hint="eastAsia" w:cs="微软雅黑" w:asciiTheme="minorEastAsia" w:hAnsiTheme="minorEastAsia" w:eastAsiaTheme="minorEastAsia"/>
          <w:sz w:val="21"/>
          <w:szCs w:val="21"/>
        </w:rPr>
        <w:t xml:space="preserve">务</w:t>
      </w:r>
      <w:r>
        <w:rPr>
          <w:rFonts w:cs="MS Gothic"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）成交供</w:t>
      </w:r>
      <w:r>
        <w:rPr>
          <w:rFonts w:hint="eastAsia" w:cs="微软雅黑" w:asciiTheme="minorEastAsia" w:hAnsiTheme="minorEastAsia" w:eastAsiaTheme="minorEastAsia"/>
          <w:sz w:val="21"/>
          <w:szCs w:val="21"/>
        </w:rPr>
        <w:t xml:space="preserve">应</w:t>
      </w:r>
      <w:r>
        <w:rPr>
          <w:rFonts w:cs="MS Gothic" w:asciiTheme="minorEastAsia" w:hAnsiTheme="minorEastAsia" w:eastAsiaTheme="minorEastAsia"/>
          <w:sz w:val="21"/>
          <w:szCs w:val="21"/>
        </w:rPr>
        <w:t xml:space="preserve">商自行承担合同</w:t>
      </w:r>
      <w:r>
        <w:rPr>
          <w:rFonts w:hint="eastAsia" w:cs="微软雅黑" w:asciiTheme="minorEastAsia" w:hAnsiTheme="minorEastAsia" w:eastAsiaTheme="minorEastAsia"/>
          <w:sz w:val="21"/>
          <w:szCs w:val="21"/>
        </w:rPr>
        <w:t xml:space="preserve">实</w:t>
      </w:r>
      <w:r>
        <w:rPr>
          <w:rFonts w:cs="MS Gothic" w:asciiTheme="minorEastAsia" w:hAnsiTheme="minorEastAsia" w:eastAsiaTheme="minorEastAsia"/>
          <w:sz w:val="21"/>
          <w:szCs w:val="21"/>
        </w:rPr>
        <w:t xml:space="preserve">施期</w:t>
      </w:r>
      <w:r>
        <w:rPr>
          <w:rFonts w:hint="eastAsia" w:cs="微软雅黑" w:asciiTheme="minorEastAsia" w:hAnsiTheme="minorEastAsia" w:eastAsiaTheme="minorEastAsia"/>
          <w:sz w:val="21"/>
          <w:szCs w:val="21"/>
        </w:rPr>
        <w:t xml:space="preserve">间</w:t>
      </w:r>
      <w:r>
        <w:rPr>
          <w:rFonts w:cs="MS Gothic" w:asciiTheme="minorEastAsia" w:hAnsiTheme="minorEastAsia" w:eastAsiaTheme="minorEastAsia"/>
          <w:sz w:val="21"/>
          <w:szCs w:val="21"/>
        </w:rPr>
        <w:t xml:space="preserve">其人</w:t>
      </w:r>
      <w:r>
        <w:rPr>
          <w:rFonts w:hint="eastAsia" w:cs="微软雅黑" w:asciiTheme="minorEastAsia" w:hAnsiTheme="minorEastAsia" w:eastAsiaTheme="minorEastAsia"/>
          <w:sz w:val="21"/>
          <w:szCs w:val="21"/>
        </w:rPr>
        <w:t xml:space="preserve">员</w:t>
      </w:r>
      <w:r>
        <w:rPr>
          <w:rFonts w:cs="MS Gothic" w:asciiTheme="minorEastAsia" w:hAnsiTheme="minorEastAsia" w:eastAsiaTheme="minorEastAsia"/>
          <w:sz w:val="21"/>
          <w:szCs w:val="21"/>
        </w:rPr>
        <w:t xml:space="preserve">的人身安全、</w:t>
      </w:r>
      <w:r>
        <w:rPr>
          <w:rFonts w:hint="eastAsia" w:cs="微软雅黑" w:asciiTheme="minorEastAsia" w:hAnsiTheme="minorEastAsia" w:eastAsiaTheme="minorEastAsia"/>
          <w:sz w:val="21"/>
          <w:szCs w:val="21"/>
        </w:rPr>
        <w:t xml:space="preserve">设备</w:t>
      </w:r>
      <w:r>
        <w:rPr>
          <w:rFonts w:cs="MS Gothic" w:asciiTheme="minorEastAsia" w:hAnsiTheme="minorEastAsia" w:eastAsiaTheme="minorEastAsia"/>
          <w:sz w:val="21"/>
          <w:szCs w:val="21"/>
        </w:rPr>
        <w:t xml:space="preserve">的使用正常及其一切可</w:t>
      </w:r>
      <w:r>
        <w:rPr>
          <w:rFonts w:hint="eastAsia" w:asciiTheme="minorEastAsia" w:hAnsiTheme="minorEastAsia" w:eastAsiaTheme="minorEastAsia"/>
          <w:sz w:val="21"/>
          <w:szCs w:val="21"/>
        </w:rPr>
        <w:t xml:space="preserve">能</w:t>
      </w:r>
      <w:r>
        <w:rPr>
          <w:rFonts w:hint="eastAsia" w:cs="微软雅黑" w:asciiTheme="minorEastAsia" w:hAnsiTheme="minorEastAsia" w:eastAsiaTheme="minorEastAsia"/>
          <w:sz w:val="21"/>
          <w:szCs w:val="21"/>
        </w:rPr>
        <w:t xml:space="preserve">产</w:t>
      </w:r>
      <w:r>
        <w:rPr>
          <w:rFonts w:cs="MS Gothic" w:asciiTheme="minorEastAsia" w:hAnsiTheme="minorEastAsia" w:eastAsiaTheme="minorEastAsia"/>
          <w:sz w:val="21"/>
          <w:szCs w:val="21"/>
        </w:rPr>
        <w:t xml:space="preserve">生的后果</w:t>
      </w:r>
      <w:r>
        <w:rPr>
          <w:rFonts w:hint="eastAsia" w:asciiTheme="minorEastAsia" w:hAnsiTheme="minorEastAsia" w:eastAsiaTheme="minorEastAsia"/>
          <w:sz w:val="21"/>
          <w:szCs w:val="21"/>
        </w:rPr>
        <w:t xml:space="preserve">。</w:t>
      </w:r>
      <w:r/>
    </w:p>
    <w:p>
      <w:pPr>
        <w:ind w:firstLine="420"/>
        <w:jc w:val="left"/>
        <w:spacing w:line="276" w:lineRule="auto"/>
        <w:rPr>
          <w:rFonts w:asciiTheme="minorEastAsia" w:hAnsiTheme="minorEastAsia" w:eastAsiaTheme="minorEastAsia"/>
          <w:b/>
          <w:sz w:val="21"/>
          <w:szCs w:val="21"/>
        </w:rPr>
        <w:outlineLvl w:val="3"/>
      </w:pPr>
      <w:r>
        <w:rPr>
          <w:rFonts w:asciiTheme="minorEastAsia" w:hAnsiTheme="minorEastAsia" w:eastAsiaTheme="minorEastAsia"/>
          <w:b/>
          <w:sz w:val="21"/>
          <w:szCs w:val="21"/>
        </w:rPr>
        <w:t xml:space="preserve">3.售后服务要求</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）双方合同签订之日起3个月内完成系统部署、调试和上线工作，进入服务期；服务期限为自正式上线之日起3年，服务项目包括但不限于：</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故障修复服务(含远程技术支持、现场技术支持)</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系统巡查服务</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重要事件保障服务</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4</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应急恢复方案设计与预演服务</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5</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辅助故障定位服务</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）售后服务：成交供应商对出现故障在10分钟内响应，</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小时以内到现场，</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小时以内提出问题解决方案并采取相应措施保障用户正常使用。成交供应商严格遵守服务合约，项目完成以后，如采购人有需要成交供应商配合的服务，成交供应商应予以配合。</w:t>
      </w:r>
      <w:r/>
    </w:p>
    <w:p>
      <w:pPr>
        <w:ind w:firstLine="420"/>
        <w:jc w:val="left"/>
        <w:spacing w:line="276" w:lineRule="auto"/>
        <w:rPr>
          <w:rFonts w:asciiTheme="minorEastAsia" w:hAnsiTheme="minorEastAsia" w:eastAsiaTheme="minorEastAsia"/>
          <w:b/>
          <w:sz w:val="21"/>
          <w:szCs w:val="21"/>
        </w:rPr>
        <w:outlineLvl w:val="3"/>
      </w:pP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.培训要求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1）成交供应商提供完整的用户培训方案。</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2）培训内容包括系统原理、运营管理和故障检测等综合内容，以实际操作培训为主，确保培训人员对设备系统有全面的认识；能熟练地使用这些知识和技巧安全规范地操作、维护网络系统。</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除上述培训外，成交供应商还需负责在现场组织对系统的安装、调试和运行进行技术示范和业务指导。</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）成交供应商选派具有一定资质和实践经验，且受过专门训练的专业技术人员负责各分项工程的技术培训工作。</w:t>
      </w:r>
      <w:r/>
    </w:p>
    <w:p>
      <w:pPr>
        <w:ind w:firstLine="420"/>
        <w:jc w:val="left"/>
        <w:spacing w:line="276" w:lineRule="auto"/>
        <w:rPr>
          <w:rFonts w:asciiTheme="minorEastAsia" w:hAnsiTheme="minorEastAsia" w:eastAsiaTheme="minorEastAsia"/>
          <w:b/>
          <w:sz w:val="21"/>
          <w:szCs w:val="21"/>
        </w:rPr>
        <w:outlineLvl w:val="3"/>
      </w:pP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.验收要求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1）采购人按照本项目招标文件要求和国家、省市相关标准规范，组织对本项目进行验收。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2）成交供应商在验收之前提供给采购人一份详细的项目验收方案报告。</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3）成交供应商书面通知采购人所完成的工作和准备进行验收的项目种类及验收开始时间，此通知书需经采购人认定后方可执行。</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综合说明及其它要求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1、供应商在响应文件中提供详细的服务方案、管理措施和售后保障、配置方案等。对磋商文件中提出的服务要求做出承诺，如果以其中某些条款不响应时，应在响应文件中逐条列出，未列出的视同响应。</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报价要求：响应总报价包含人工费、材料费、机械使用费、措施费管理费、安装调试、技术支持、售后服务及相关劳务支出、保险费、利润、税金、政策性文件规定及合同包含的所有风险、责任等完成本项目的各项应有费用。</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、成交供应商须为本项目配备的实施团队人员按规定缴纳社会保险及人身意外险，若工作人员在项目实施期间出现的工伤及其他意外事故，均由成交供应商自行负责，采购人不承担任何责任。</w:t>
      </w:r>
      <w:r/>
    </w:p>
    <w:p>
      <w:pPr>
        <w:ind w:firstLine="420"/>
        <w:spacing w:line="276" w:lineRule="auto"/>
        <w:tabs>
          <w:tab w:val="left" w:pos="753" w:leader="none"/>
        </w:tabs>
        <w:rPr>
          <w:rFonts w:asciiTheme="minorEastAsia" w:hAnsiTheme="minorEastAsia" w:eastAsiaTheme="minorEastAsia"/>
          <w:sz w:val="21"/>
          <w:szCs w:val="21"/>
        </w:rPr>
      </w:pPr>
      <w:r/>
      <w:bookmarkStart w:id="129" w:name="OLE_LINK106"/>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成交供应商加强对员工的安全教育，服务期间凡发生设备损坏和人员损伤等事故，以及员工生病、事故、伤残、死亡和劳务（劳资问题、工资拖欠问题）纠纷等，均由成交供应商负责和赔偿。成交供应商工作人员在服务过程中涉及的所有费用均包含在项目费用之内，采购人不再另行支付。服务过程中产生的一切安全问题均与采购人无关，全部由成交供应商承担。</w:t>
      </w:r>
      <w:bookmarkEnd w:id="129"/>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供应商须具备独立完成本项目的能力，具有较强售后服务能力。供应商可在投标前自行进行调研，了解项目情况及详细需求，但供应商不得因此使采购人承担有关的责任和蒙受损失。供应商应承担前期调研的责任、风险和费用。供应商成交后，不得以不了解项目情况及详细需求为理由而向采购人提出任何索赔的要求，对此采购人不再承担任何责任。</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响应文件的组成及要求</w:t>
      </w:r>
      <w:r/>
    </w:p>
    <w:p>
      <w:pPr>
        <w:ind w:left="422"/>
        <w:spacing w:line="276" w:lineRule="auto"/>
        <w:tabs>
          <w:tab w:val="left" w:pos="753" w:leader="none"/>
        </w:tabs>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（一）响应文件组成（部分格式见磋商文件第二章）</w:t>
      </w:r>
      <w:r/>
    </w:p>
    <w:p>
      <w:pPr>
        <w:ind w:firstLine="420"/>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1、封面</w:t>
      </w:r>
      <w:r/>
    </w:p>
    <w:p>
      <w:pPr>
        <w:ind w:firstLine="420"/>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2、开标一览表（响应报价表）</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、分项报价表</w:t>
      </w:r>
      <w:r/>
    </w:p>
    <w:p>
      <w:pPr>
        <w:ind w:firstLine="420"/>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4、其他资料：</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.1响应函（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关于资格文件的声明函（</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供应商情况表（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法定代表人（负责人）身份证明（</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（供应商）授权委托书（如有授权）（</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响应保证承诺书》（</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、资格审查响应文件：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合格供应商的基本条件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.1具有独立承担民事责任的能力（包括法人或者其他组织的营业执照等证明文件，自然人的身份证明）；</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.2具有良好的商业信誉和健全的财务会计制度（包括但不限于最近一期经审计的财务报告，其他组织、自然人及成立未满一年的法人应提供银行出具的资信证明）；</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.3具有履行合同所必需的设备和专业技术能力</w:t>
      </w:r>
      <w:bookmarkStart w:id="130" w:name="OLE_LINK59"/>
      <w:r/>
      <w:bookmarkStart w:id="131" w:name="OLE_LINK60"/>
      <w:r>
        <w:rPr>
          <w:rFonts w:hint="eastAsia" w:asciiTheme="minorEastAsia" w:hAnsiTheme="minorEastAsia" w:eastAsiaTheme="minorEastAsia"/>
          <w:sz w:val="21"/>
          <w:szCs w:val="21"/>
        </w:rPr>
        <w:t xml:space="preserve">（证明材料或承诺）</w:t>
      </w:r>
      <w:bookmarkEnd w:id="130"/>
      <w:r/>
      <w:bookmarkEnd w:id="131"/>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4有依法缴纳税收和社会保障资金的良好记录（提交响应文件截止时间前一年内至少一个月依法缴纳税收及缴纳社会保障资金的证明材料，如相关主管部门证明或银行代扣证明。供应商如依法享受缓缴、免缴税收、社会保障资金的应提供相关主管部门出具的证明材料）；</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.5参加政府采购活动前三年内，在经营活动中没有重大违法记录（书面声明函）；</w:t>
      </w:r>
      <w:r/>
    </w:p>
    <w:p>
      <w:pPr>
        <w:pStyle w:val="88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5.1.6</w:t>
      </w:r>
      <w:r>
        <w:rPr>
          <w:rFonts w:hint="eastAsia" w:asciiTheme="minorEastAsia" w:hAnsiTheme="minorEastAsia" w:eastAsiaTheme="minorEastAsia"/>
          <w:sz w:val="21"/>
          <w:szCs w:val="21"/>
        </w:rPr>
        <w:t xml:space="preserve">法律、行政法规规定的其他条件；</w:t>
      </w:r>
      <w:r/>
    </w:p>
    <w:p>
      <w:pPr>
        <w:ind w:firstLine="420"/>
        <w:spacing w:line="276" w:lineRule="auto"/>
        <w:tabs>
          <w:tab w:val="left" w:pos="567" w:leader="none"/>
        </w:tabs>
        <w:rPr>
          <w:rFonts w:hint="eastAsia" w:asciiTheme="minorEastAsia" w:hAnsiTheme="minorEastAsia" w:eastAsiaTheme="minorEastAsia"/>
          <w:sz w:val="21"/>
          <w:szCs w:val="21"/>
          <w:highlight w:val="none"/>
        </w:rPr>
      </w:pPr>
      <w:r>
        <w:rPr>
          <w:rFonts w:asciiTheme="minorEastAsia" w:hAnsiTheme="minorEastAsia" w:eastAsiaTheme="minorEastAsia"/>
          <w:sz w:val="21"/>
          <w:szCs w:val="21"/>
        </w:rPr>
        <w:t xml:space="preserve">5.1.7</w:t>
      </w:r>
      <w:r>
        <w:rPr>
          <w:rFonts w:hint="eastAsia" w:asciiTheme="minorEastAsia" w:hAnsiTheme="minorEastAsia" w:eastAsiaTheme="minorEastAsia"/>
          <w:sz w:val="21"/>
          <w:szCs w:val="21"/>
        </w:rPr>
        <w:t xml:space="preserve">其他有关资格证明的文件（未被“信用中国”网站（www.creditchina.gov.cn）列入失信被执行人、重大税收违法案件当事人名单、政府采购严重失信行为记录名单；</w:t>
      </w:r>
      <w:r>
        <w:rPr>
          <w:rFonts w:asciiTheme="minorEastAsia" w:hAnsiTheme="minorEastAsia" w:eastAsiaTheme="minorEastAsia"/>
          <w:sz w:val="21"/>
          <w:szCs w:val="21"/>
        </w:rPr>
        <w:t xml:space="preserve">其他响应承诺、</w:t>
      </w:r>
      <w:r>
        <w:rPr>
          <w:rFonts w:hint="eastAsia" w:asciiTheme="minorEastAsia" w:hAnsiTheme="minorEastAsia" w:eastAsiaTheme="minorEastAsia"/>
          <w:sz w:val="21"/>
          <w:szCs w:val="21"/>
        </w:rPr>
        <w:t xml:space="preserve">申请人不得存在的情形（承诺书）（</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highlight w:val="none"/>
        </w:rPr>
      </w:r>
      <w:r>
        <w:rPr>
          <w:rFonts w:ascii="SimSun" w:hAnsi="SimSun" w:eastAsia="SimSun" w:cs="SimSun"/>
          <w:color w:val="000000"/>
          <w:sz w:val="21"/>
        </w:rPr>
        <w:t xml:space="preserve">5.2特定资格要求（如有）。</w:t>
      </w:r>
      <w:r>
        <w:rPr>
          <w:rFonts w:hint="eastAsia" w:asciiTheme="minorEastAsia" w:hAnsiTheme="minorEastAsia" w:eastAsiaTheme="minorEastAsia"/>
          <w:sz w:val="21"/>
          <w:szCs w:val="21"/>
          <w:highlight w:val="none"/>
        </w:rPr>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、符合性审查响应文件：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商务</w:t>
      </w:r>
      <w:r>
        <w:rPr>
          <w:rFonts w:asciiTheme="minorEastAsia" w:hAnsiTheme="minorEastAsia" w:eastAsiaTheme="minorEastAsia"/>
          <w:sz w:val="21"/>
          <w:szCs w:val="21"/>
        </w:rPr>
        <w:t xml:space="preserve">条款偏离表》</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《技术要求偏离表》（</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6.3</w:t>
      </w:r>
      <w:r>
        <w:rPr>
          <w:rFonts w:hint="eastAsia" w:asciiTheme="minorEastAsia" w:hAnsiTheme="minorEastAsia" w:eastAsiaTheme="minorEastAsia"/>
          <w:sz w:val="21"/>
          <w:szCs w:val="21"/>
        </w:rPr>
        <w:t xml:space="preserve">其他；</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7</w:t>
      </w:r>
      <w:r>
        <w:rPr>
          <w:rFonts w:hint="eastAsia" w:asciiTheme="minorEastAsia" w:hAnsiTheme="minorEastAsia" w:eastAsiaTheme="minorEastAsia"/>
          <w:b/>
          <w:sz w:val="21"/>
          <w:szCs w:val="21"/>
        </w:rPr>
        <w:t xml:space="preserve">、综合评审响应文件：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.1</w:t>
      </w:r>
      <w:r>
        <w:rPr>
          <w:rFonts w:hint="eastAsia" w:ascii="宋体" w:hAnsi="宋体" w:eastAsia="宋体" w:cs="宋体"/>
          <w:bCs/>
          <w:color w:val="000000"/>
          <w:sz w:val="21"/>
          <w:szCs w:val="21"/>
        </w:rPr>
        <w:t xml:space="preserve">项目理解</w:t>
      </w:r>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7.2</w:t>
      </w:r>
      <w:r>
        <w:rPr>
          <w:rFonts w:hint="eastAsia" w:ascii="宋体" w:hAnsi="宋体" w:eastAsia="宋体" w:cs="宋体"/>
          <w:bCs/>
          <w:color w:val="000000"/>
          <w:sz w:val="21"/>
          <w:szCs w:val="21"/>
        </w:rPr>
        <w:t xml:space="preserve">技术和服务方案</w:t>
      </w:r>
      <w:r>
        <w:rPr>
          <w:rFonts w:asciiTheme="minorEastAsia" w:hAnsiTheme="minorEastAsia" w:eastAsiaTheme="minorEastAsia"/>
          <w:sz w:val="21"/>
          <w:szCs w:val="21"/>
        </w:rPr>
        <w:t xml:space="preserve">；</w:t>
      </w:r>
      <w:r/>
    </w:p>
    <w:p>
      <w:pPr>
        <w:ind w:firstLine="420"/>
        <w:spacing w:line="276" w:lineRule="auto"/>
        <w:tabs>
          <w:tab w:val="left" w:pos="567"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项目相关技术能力；</w:t>
      </w:r>
      <w:r/>
    </w:p>
    <w:p>
      <w:pPr>
        <w:ind w:firstLine="420"/>
        <w:spacing w:line="276" w:lineRule="auto"/>
        <w:tabs>
          <w:tab w:val="left" w:pos="567" w:leader="none"/>
        </w:tabs>
        <w:rPr>
          <w:rFonts w:cs="宋体" w:asciiTheme="minorEastAsia" w:hAnsiTheme="minorEastAsia" w:eastAsiaTheme="minorEastAsia"/>
          <w:bCs/>
          <w:color w:val="000000"/>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w:t>
      </w:r>
      <w:r>
        <w:rPr>
          <w:rFonts w:hint="eastAsia" w:ascii="宋体" w:hAnsi="宋体" w:eastAsia="宋体" w:cs="宋体"/>
          <w:bCs/>
          <w:color w:val="000000"/>
          <w:sz w:val="21"/>
          <w:szCs w:val="21"/>
        </w:rPr>
        <w:t xml:space="preserve">人员服务能力</w:t>
      </w:r>
      <w:r>
        <w:rPr>
          <w:rFonts w:hint="eastAsia" w:cs="宋体" w:asciiTheme="minorEastAsia" w:hAnsiTheme="minorEastAsia" w:eastAsiaTheme="minorEastAsia"/>
          <w:bCs/>
          <w:color w:val="000000"/>
          <w:sz w:val="21"/>
          <w:szCs w:val="21"/>
        </w:rPr>
        <w:t xml:space="preserve">；</w:t>
      </w:r>
      <w:r/>
    </w:p>
    <w:p>
      <w:pPr>
        <w:ind w:firstLine="420"/>
        <w:spacing w:line="276" w:lineRule="auto"/>
        <w:tabs>
          <w:tab w:val="left" w:pos="567" w:leader="none"/>
        </w:tabs>
        <w:rPr>
          <w:rFonts w:hint="eastAsia" w:asciiTheme="minorEastAsia" w:hAnsiTheme="minorEastAsia" w:eastAsiaTheme="minorEastAsia"/>
          <w:sz w:val="21"/>
          <w:szCs w:val="21"/>
        </w:rPr>
      </w:pPr>
      <w:r>
        <w:rPr>
          <w:rFonts w:cs="宋体" w:asciiTheme="minorEastAsia" w:hAnsiTheme="minorEastAsia" w:eastAsiaTheme="minorEastAsia"/>
          <w:bCs/>
          <w:color w:val="000000"/>
          <w:sz w:val="21"/>
          <w:szCs w:val="21"/>
        </w:rPr>
        <w:t xml:space="preserve">7.5综合实力；</w:t>
      </w:r>
      <w:r/>
    </w:p>
    <w:p>
      <w:pPr>
        <w:ind w:firstLine="420"/>
        <w:spacing w:line="276" w:lineRule="auto"/>
        <w:tabs>
          <w:tab w:val="left" w:pos="567" w:leader="none"/>
        </w:tabs>
        <w:rPr>
          <w:rFonts w:asciiTheme="minorEastAsia" w:hAnsiTheme="minorEastAsia" w:eastAsiaTheme="minorEastAsia"/>
          <w:sz w:val="21"/>
          <w:szCs w:val="21"/>
        </w:rPr>
      </w:pPr>
      <w:r>
        <w:rPr>
          <w:rFonts w:cs="宋体" w:asciiTheme="minorEastAsia" w:hAnsiTheme="minorEastAsia" w:eastAsiaTheme="minorEastAsia"/>
          <w:color w:val="000000"/>
          <w:sz w:val="21"/>
          <w:szCs w:val="21"/>
        </w:rPr>
        <w:t xml:space="preserve">7.6</w:t>
      </w:r>
      <w:r>
        <w:rPr>
          <w:rFonts w:hint="eastAsia" w:asciiTheme="minorEastAsia" w:hAnsiTheme="minorEastAsia" w:eastAsiaTheme="minorEastAsia"/>
          <w:sz w:val="21"/>
          <w:szCs w:val="21"/>
        </w:rPr>
        <w:t xml:space="preserve">类似业绩（</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rPr>
          <w:rFonts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b/>
          <w:sz w:val="21"/>
          <w:szCs w:val="21"/>
        </w:rPr>
        <w:t xml:space="preserve">8</w:t>
      </w:r>
      <w:r>
        <w:rPr>
          <w:rFonts w:hint="eastAsia" w:asciiTheme="minorEastAsia" w:hAnsiTheme="minorEastAsia" w:eastAsiaTheme="minorEastAsia"/>
          <w:b/>
          <w:sz w:val="21"/>
          <w:szCs w:val="21"/>
        </w:rPr>
        <w:t xml:space="preserve">、《中小企业声明函（服务）</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&amp;《</w:t>
      </w:r>
      <w:r>
        <w:rPr>
          <w:rFonts w:asciiTheme="minorEastAsia" w:hAnsiTheme="minorEastAsia" w:eastAsiaTheme="minorEastAsia"/>
          <w:b/>
          <w:sz w:val="21"/>
          <w:szCs w:val="21"/>
        </w:rPr>
        <w:t xml:space="preserve">残疾人福利性单位声明函》</w:t>
      </w:r>
      <w:r>
        <w:rPr>
          <w:rFonts w:hint="eastAsia" w:asciiTheme="minorEastAsia" w:hAnsiTheme="minorEastAsia" w:eastAsiaTheme="minorEastAsia"/>
          <w:b/>
          <w:sz w:val="21"/>
          <w:szCs w:val="21"/>
        </w:rPr>
        <w:t xml:space="preserve">&amp;《监狱企业声明函》</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详见</w:t>
      </w:r>
      <w:r>
        <w:rPr>
          <w:rFonts w:hint="eastAsia" w:asciiTheme="minorEastAsia" w:hAnsiTheme="minorEastAsia" w:eastAsiaTheme="minorEastAsia"/>
          <w:sz w:val="21"/>
          <w:szCs w:val="21"/>
        </w:rPr>
        <w:t xml:space="preserve">磋商文件第二章）。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、其他可以证明供应商资质、服务质量的证书、文件等相关资料。</w:t>
      </w:r>
      <w:r/>
    </w:p>
    <w:p>
      <w:pPr>
        <w:ind w:firstLine="420"/>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w:t>
      </w:r>
      <w:r/>
    </w:p>
    <w:p>
      <w:pPr>
        <w:ind w:firstLine="420"/>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（1）以上</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5.2</w:t>
      </w:r>
      <w:r>
        <w:rPr>
          <w:rFonts w:hint="eastAsia" w:asciiTheme="minorEastAsia" w:hAnsiTheme="minorEastAsia" w:eastAsiaTheme="minorEastAsia"/>
          <w:b/>
          <w:sz w:val="21"/>
          <w:szCs w:val="21"/>
        </w:rPr>
        <w:t xml:space="preserve">和8、为资格审查要求提供的材料，是作为对供应商资格审查、质疑身份认定的依据，响应供应商必须提供并加盖电子公章。否则，响应文件将被认定为不符合资格审查要求。</w:t>
      </w:r>
      <w:r/>
    </w:p>
    <w:p>
      <w:pPr>
        <w:ind w:firstLine="420"/>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（2）以上</w:t>
      </w:r>
      <w:r>
        <w:rPr>
          <w:rFonts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为符合性审查须提供的资料，响应供应商必须提供并加盖电子公章。否则，响应文件将被认定为未实质性响应。</w:t>
      </w:r>
      <w:r/>
    </w:p>
    <w:p>
      <w:pPr>
        <w:ind w:firstLine="420"/>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（3）供应商所提交的资料的完整与否，将直接影响供应商的评分。</w:t>
      </w:r>
      <w:r/>
    </w:p>
    <w:p>
      <w:pPr>
        <w:ind w:firstLine="420"/>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（4）制作电子响应文件时必须与响应文件制作软件目录一一对应，将相关资料上传至相应模块。</w:t>
      </w:r>
      <w:r/>
    </w:p>
    <w:p>
      <w:pPr>
        <w:ind w:firstLine="420"/>
        <w:spacing w:line="276" w:lineRule="auto"/>
        <w:tabs>
          <w:tab w:val="left" w:pos="567" w:leader="none"/>
        </w:tabs>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5）供应商必须保证全部投标资料的真实性，如有虚假或对磋商文件所要求说明的情况故意隐瞒或虚报，视为不实质性响应磋商文件，为无效响应，并按照《中华人民共和国政府采购法》第七十七条“提供虚假材料谋取中标、成交”相关规定处理。</w:t>
      </w:r>
      <w:r/>
    </w:p>
    <w:p>
      <w:pPr>
        <w:ind w:firstLine="420"/>
        <w:spacing w:line="276"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（二）响应文件的制作、签署、上传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本项目采用电子招投标形式，请供应商按照《苏采云系统供应商操作手册》进行制作、上传电子响应文件。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制作电子响应文件时，应按照磋商文件要求加盖供应商电子签章。</w:t>
      </w:r>
      <w:r/>
    </w:p>
    <w:p>
      <w:pPr>
        <w:pStyle w:val="880"/>
        <w:jc w:val="both"/>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b/>
          <w:sz w:val="21"/>
          <w:szCs w:val="21"/>
        </w:rPr>
        <w:t xml:space="preserve">电子响应文件制作完成后请于响应文件网上提交截止时间前成功上传至“苏采云”系统，否则视为放弃参加该采购项目。</w:t>
      </w:r>
      <w:r>
        <w:rPr>
          <w:rFonts w:hint="eastAsia" w:asciiTheme="minorEastAsia" w:hAnsiTheme="minorEastAsia" w:eastAsiaTheme="minorEastAsia"/>
          <w:sz w:val="21"/>
          <w:szCs w:val="21"/>
        </w:rPr>
        <w:t xml:space="preserve">供应商应充分考虑到网络环境、网络带宽等风险因素，如因供应商自身原因造成的电子响应文件上传不成功由供应商自行承担全部责任。</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不同供应商的投标（响应）文件制作“机器码一致”，表明各投标（响应）文件在同一台电脑上制作，各供应商之间涉嫌串通投标，将作为无效投标情形处理。</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磋商程序</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1、采购代理机构按本须知规定的时间、地点主持磋商采购活动。</w:t>
      </w:r>
      <w:r>
        <w:rPr>
          <w:rFonts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2、供应商通过“苏采云”系统在线参与磋商活动。供应商应当按照《苏采云系统供应商操作手册》规定在“苏采云”系统规定的时间内对响应文件进行解密。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3、在磋商响应文件网上递交截止时间止成功解密的磋商供应商少于三家，则本次采购失败。</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4、由磋商小组审查供应商解密的响应文件。</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276" w:lineRule="auto"/>
        <w:tabs>
          <w:tab w:val="left" w:pos="567" w:leader="none"/>
        </w:tabs>
        <w:rPr>
          <w:rFonts w:asciiTheme="minorEastAsia" w:hAnsiTheme="minorEastAsia" w:eastAsiaTheme="minorEastAsia"/>
          <w:sz w:val="21"/>
          <w:szCs w:val="21"/>
        </w:rPr>
      </w:pPr>
      <w:r/>
      <w:bookmarkStart w:id="132" w:name="OLE_LINK23"/>
      <w:r/>
      <w:bookmarkStart w:id="133" w:name="OLE_LINK28"/>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响应文件报价出现前后不一致的，除磋商文件另有规定外，按照下列规定修正：</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.1开标时，响应文件中开标一览表</w:t>
      </w:r>
      <w:bookmarkStart w:id="134" w:name="OLE_LINK27"/>
      <w:r/>
      <w:bookmarkStart w:id="135" w:name="OLE_LINK21"/>
      <w:r>
        <w:rPr>
          <w:rFonts w:hint="eastAsia" w:asciiTheme="minorEastAsia" w:hAnsiTheme="minorEastAsia" w:eastAsiaTheme="minorEastAsia"/>
          <w:sz w:val="21"/>
          <w:szCs w:val="21"/>
        </w:rPr>
        <w:t xml:space="preserve">（</w:t>
      </w:r>
      <w:bookmarkStart w:id="136" w:name="OLE_LINK18"/>
      <w:r>
        <w:rPr>
          <w:rFonts w:hint="eastAsia" w:asciiTheme="minorEastAsia" w:hAnsiTheme="minorEastAsia" w:eastAsiaTheme="minorEastAsia"/>
          <w:sz w:val="21"/>
          <w:szCs w:val="21"/>
        </w:rPr>
        <w:t xml:space="preserve">总报价</w:t>
      </w:r>
      <w:bookmarkEnd w:id="136"/>
      <w:r>
        <w:rPr>
          <w:rFonts w:hint="eastAsia" w:asciiTheme="minorEastAsia" w:hAnsiTheme="minorEastAsia" w:eastAsiaTheme="minorEastAsia"/>
          <w:sz w:val="21"/>
          <w:szCs w:val="21"/>
        </w:rPr>
        <w:t xml:space="preserve">）</w:t>
      </w:r>
      <w:bookmarkEnd w:id="134"/>
      <w:r/>
      <w:bookmarkEnd w:id="135"/>
      <w:r>
        <w:rPr>
          <w:rFonts w:hint="eastAsia" w:asciiTheme="minorEastAsia" w:hAnsiTheme="minorEastAsia" w:eastAsiaTheme="minorEastAsia"/>
          <w:sz w:val="21"/>
          <w:szCs w:val="21"/>
        </w:rPr>
        <w:t xml:space="preserve">内容与响应文件中相应内容不一致的，以开标一览表（总报价）为准；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.2响应文件的大写金额和小写金额不一致的，以大写金额为准；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.3单价金额小数点或者百分比有明显错位的，以开标一览表（总报价）的总价为准，并修改单价；</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.4总价金额与按单价汇总金额不一致的，以单价金额计算结果为准；</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同时出现两种以上不一致的，按照前款规定的顺序修正。修正后的报价按照磋商程序第</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条的规定经供应商确认后产生约束力，供应商不确认的，其响应无效。</w:t>
      </w:r>
      <w:bookmarkEnd w:id="132"/>
      <w:r/>
      <w:bookmarkEnd w:id="133"/>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、磋商小组要求供应商澄清、说明或者更正响应文件应当以书面形式作出。供应商的澄清、说明或者更正应当由法定代表人或其授权代表签字或者加盖电子公章。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本项目供应商的澄清、说明或者补正采用线上澄清</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asciiTheme="minorEastAsia" w:hAnsiTheme="minorEastAsia" w:eastAsiaTheme="minorEastAsia"/>
          <w:b/>
          <w:sz w:val="21"/>
          <w:szCs w:val="21"/>
        </w:rPr>
        <w:t xml:space="preserve">供应商应随时保持系统在线，如因供应商自身原因未在规定时间内提交澄清确认资料的，导致的不利后果由供应商自行承担。</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、对于通过资格审查和符合性审查的供应商，磋商小组所有成员集中与单一供应商分别进行磋商，并给予所有参加磋商的供应商平等的磋商机会。</w:t>
      </w:r>
      <w:r>
        <w:rPr>
          <w:rFonts w:hint="eastAsia" w:asciiTheme="minorEastAsia" w:hAnsiTheme="minorEastAsia" w:eastAsiaTheme="minorEastAsia"/>
          <w:b/>
          <w:sz w:val="21"/>
          <w:szCs w:val="21"/>
        </w:rPr>
        <w:t xml:space="preserve">磋商小组通过“苏采云”系统向供应商发布“磋商函”，供应商应当按照要求在“苏采云”系统提交“磋商响应函”并加盖CA电子公章。</w:t>
      </w:r>
      <w:r/>
    </w:p>
    <w:p>
      <w:pPr>
        <w:ind w:firstLine="420"/>
        <w:spacing w:line="276" w:lineRule="auto"/>
        <w:tabs>
          <w:tab w:val="left" w:pos="567" w:leader="none"/>
        </w:tabs>
        <w:rPr>
          <w:rFonts w:asciiTheme="minorEastAsia" w:hAnsiTheme="minorEastAsia" w:eastAsiaTheme="minorEastAsia"/>
          <w:b/>
          <w:sz w:val="21"/>
          <w:szCs w:val="21"/>
        </w:rPr>
      </w:pPr>
      <w:r>
        <w:rPr>
          <w:rFonts w:asciiTheme="minorEastAsia" w:hAnsiTheme="minorEastAsia" w:eastAsiaTheme="minorEastAsia"/>
          <w:sz w:val="21"/>
          <w:szCs w:val="21"/>
        </w:rPr>
        <w:t xml:space="preserve">9、在磋商过程中，磋商小组可以根据磋商文件和磋商情况实质性变动采购需求中的技术、服务要求以及合同草案条款。对磋商文件做出的实质性变动是磋商文件的有效组成部分，</w:t>
      </w:r>
      <w:r>
        <w:rPr>
          <w:rFonts w:asciiTheme="minorEastAsia" w:hAnsiTheme="minorEastAsia" w:eastAsiaTheme="minorEastAsia"/>
          <w:b/>
          <w:sz w:val="21"/>
          <w:szCs w:val="21"/>
        </w:rPr>
        <w:t xml:space="preserve">磋商小组将在“苏采云”系统中同时通知所有参加磋商的供应商，供应商应当按照磋商文件的变动情况和磋商小组的要求在“苏采云”系统中重新提交响应文件，并加盖CA电子公章。</w:t>
      </w:r>
      <w:r/>
    </w:p>
    <w:p>
      <w:pPr>
        <w:ind w:firstLine="420"/>
        <w:spacing w:line="276" w:lineRule="auto"/>
        <w:rPr>
          <w:rFonts w:asciiTheme="minorEastAsia" w:hAnsiTheme="minorEastAsia" w:eastAsiaTheme="minorEastAsia"/>
          <w:sz w:val="21"/>
          <w:szCs w:val="21"/>
        </w:rPr>
      </w:pPr>
      <w:r/>
      <w:bookmarkStart w:id="137" w:name="OLE_LINK47"/>
      <w:r/>
      <w:bookmarkStart w:id="138" w:name="OLE_LINK44"/>
      <w:r/>
      <w:bookmarkStart w:id="139" w:name="OLE_LINK48"/>
      <w:r/>
      <w:bookmarkStart w:id="140" w:name="OLE_LINK49"/>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评审过程中出现下列情形之一的，磋商小组应当启动异常低价响应审查程序：</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10.1</w:t>
      </w:r>
      <w:r>
        <w:rPr>
          <w:rFonts w:hint="eastAsia" w:asciiTheme="minorEastAsia" w:hAnsiTheme="minorEastAsia" w:eastAsiaTheme="minorEastAsia"/>
          <w:sz w:val="21"/>
          <w:szCs w:val="21"/>
        </w:rPr>
        <w:t xml:space="preserve">响应报价低于采购项目预算50%的，即响应报价＜采购项目预算×50%；</w:t>
      </w:r>
      <w:r/>
    </w:p>
    <w:p>
      <w:pPr>
        <w:ind w:firstLine="420"/>
        <w:spacing w:line="276" w:lineRule="auto"/>
        <w:rPr>
          <w:rFonts w:asciiTheme="minorEastAsia" w:hAnsiTheme="minorEastAsia" w:eastAsiaTheme="minorEastAsia"/>
          <w:sz w:val="21"/>
          <w:szCs w:val="21"/>
        </w:rPr>
      </w:pPr>
      <w:r>
        <w:rPr>
          <w:rFonts w:hint="eastAsia" w:ascii="宋体" w:hAnsi="宋体" w:eastAsia="宋体"/>
          <w:sz w:val="21"/>
          <w:szCs w:val="21"/>
        </w:rPr>
        <w:t xml:space="preserve">1</w:t>
      </w:r>
      <w:r>
        <w:rPr>
          <w:rFonts w:ascii="宋体" w:hAnsi="宋体" w:eastAsia="宋体"/>
          <w:sz w:val="21"/>
          <w:szCs w:val="21"/>
        </w:rPr>
        <w:t xml:space="preserve">0.2</w:t>
      </w:r>
      <w:r>
        <w:rPr>
          <w:rFonts w:hint="eastAsia" w:asciiTheme="minorEastAsia" w:hAnsiTheme="minorEastAsia" w:eastAsiaTheme="minorEastAsia"/>
          <w:sz w:val="21"/>
          <w:szCs w:val="21"/>
        </w:rPr>
        <w:t xml:space="preserve">响应报价</w:t>
      </w:r>
      <w:r>
        <w:rPr>
          <w:rFonts w:hint="eastAsia" w:ascii="宋体" w:hAnsi="宋体" w:eastAsia="宋体"/>
          <w:sz w:val="21"/>
          <w:szCs w:val="21"/>
        </w:rPr>
        <w:t xml:space="preserve">低于采购项目最高限价45%的，即</w:t>
      </w:r>
      <w:r>
        <w:rPr>
          <w:rFonts w:hint="eastAsia" w:asciiTheme="minorEastAsia" w:hAnsiTheme="minorEastAsia" w:eastAsiaTheme="minorEastAsia"/>
          <w:sz w:val="21"/>
          <w:szCs w:val="21"/>
        </w:rPr>
        <w:t xml:space="preserve">响应报价</w:t>
      </w:r>
      <w:r>
        <w:rPr>
          <w:rFonts w:hint="eastAsia" w:ascii="宋体" w:hAnsi="宋体" w:eastAsia="宋体"/>
          <w:sz w:val="21"/>
          <w:szCs w:val="21"/>
        </w:rPr>
        <w:t xml:space="preserve">＜采购项目最高限价×45%；</w:t>
      </w:r>
      <w:bookmarkEnd w:id="137"/>
      <w:r/>
      <w:bookmarkEnd w:id="138"/>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10.3</w:t>
      </w:r>
      <w:r>
        <w:rPr>
          <w:rFonts w:hint="eastAsia" w:asciiTheme="minorEastAsia" w:hAnsiTheme="minorEastAsia" w:eastAsiaTheme="minorEastAsia"/>
          <w:sz w:val="21"/>
          <w:szCs w:val="21"/>
        </w:rPr>
        <w:t xml:space="preserve">磋商小组认定的供应商报价过低、有可能影响产品质量或者不能诚信履约的其他情形。</w:t>
      </w:r>
      <w:bookmarkEnd w:id="139"/>
      <w:r/>
      <w:bookmarkEnd w:id="140"/>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11、</w:t>
      </w:r>
      <w:r>
        <w:rPr>
          <w:rFonts w:hint="eastAsia" w:asciiTheme="minorEastAsia" w:hAnsiTheme="minorEastAsia" w:eastAsiaTheme="minorEastAsia"/>
          <w:sz w:val="21"/>
          <w:szCs w:val="21"/>
        </w:rPr>
        <w:t xml:space="preserve">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审查相关情况应当在评审报告中进行记录。</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b/>
          <w:sz w:val="21"/>
          <w:szCs w:val="21"/>
        </w:rPr>
        <w:t xml:space="preserve">12、磋商结束后，磋商小组将在“苏采云”系统向所有实质性响应的供应商发布“最后报价要求函”及最后报价格式表，要求所有实质性响应的供应商在规定时间内提交最后报价</w:t>
      </w:r>
      <w:r>
        <w:rPr>
          <w:rFonts w:hint="eastAsia" w:asciiTheme="minorEastAsia" w:hAnsiTheme="minorEastAsia" w:eastAsiaTheme="minorEastAsia"/>
          <w:b/>
          <w:sz w:val="21"/>
          <w:szCs w:val="21"/>
        </w:rPr>
        <w:t xml:space="preserve">，提交最后报价的供应商不得少于3家。</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财购告【2017】40号），符合《政府采购竞争性磋商采购方式管理暂行办法》第三条第（一）、第（四）项情形的，提交最后报价的供应商可以为2家。</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13、供应商未在磋商小组规定的时间内在“苏采云”系统中提交最后报价的视为放弃磋商，其响应文件按无效响应处理，最后报价格式表须加盖CA电子公章，否则视为未提交最后报价。</w:t>
      </w:r>
      <w:r>
        <w:rPr>
          <w:rFonts w:asciiTheme="minorEastAsia" w:hAnsiTheme="minorEastAsia" w:eastAsiaTheme="minorEastAsia"/>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已提交响应文件的供应商，在提交最后报价之前，可以根据磋商情况退出磋商，并在“苏采云”系统中提交“退出磋商函”并加盖CA电子公章。</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进入项目评审流程后，建议各供应商法定代表人或授权委托人始终保持通讯顺畅，时刻关注不见面开标大厅，不离开不见面开标大厅。</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、磋商小组根据磋商成交原则确定成交供应商，并将结果通知所有参加磋商的供应商。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16、</w:t>
      </w:r>
      <w:r>
        <w:rPr>
          <w:rFonts w:hint="eastAsia" w:asciiTheme="minorEastAsia" w:hAnsiTheme="minorEastAsia" w:eastAsiaTheme="minorEastAsia"/>
          <w:sz w:val="21"/>
          <w:szCs w:val="21"/>
        </w:rPr>
        <w:t xml:space="preserve">成交</w:t>
      </w:r>
      <w:r>
        <w:rPr>
          <w:rFonts w:asciiTheme="minorEastAsia" w:hAnsiTheme="minorEastAsia" w:eastAsiaTheme="minorEastAsia"/>
          <w:sz w:val="21"/>
          <w:szCs w:val="21"/>
        </w:rPr>
        <w:t xml:space="preserve">通知书发出后，采购人不得违法改变成交结果，成交供应商无正当理由不得放弃中标</w:t>
      </w:r>
      <w:r>
        <w:rPr>
          <w:rFonts w:hint="eastAsia" w:asciiTheme="minorEastAsia" w:hAnsiTheme="minorEastAsia" w:eastAsiaTheme="minorEastAsia"/>
          <w:sz w:val="21"/>
          <w:szCs w:val="21"/>
        </w:rPr>
        <w:t xml:space="preserve">。</w:t>
      </w:r>
      <w:r>
        <w:rPr>
          <w:rFonts w:hint="eastAsia" w:asciiTheme="minorEastAsia" w:hAnsiTheme="minorEastAsia" w:eastAsiaTheme="minorEastAsia"/>
          <w:b/>
          <w:sz w:val="21"/>
          <w:szCs w:val="21"/>
        </w:rPr>
        <w:t xml:space="preserve">请成交供应商在成交结果公告届满之日起30日内，使用CA证书登录“苏采云”系统及时下载成交通知书。</w:t>
      </w:r>
      <w:r>
        <w:rPr>
          <w:rFonts w:hint="eastAsia" w:asciiTheme="minorEastAsia" w:hAnsiTheme="minorEastAsia" w:eastAsiaTheme="minorEastAsia"/>
          <w:sz w:val="21"/>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、如磋商过程中出现本磋商文件未尽事宜，由磋商小组根据政府采购有关法律、法规讨论决定。</w:t>
      </w:r>
      <w:r/>
    </w:p>
    <w:p>
      <w:pPr>
        <w:numPr>
          <w:ilvl w:val="0"/>
          <w:numId w:val="7"/>
        </w:numPr>
        <w:spacing w:line="276" w:lineRule="auto"/>
        <w:rPr>
          <w:rFonts w:asciiTheme="minorEastAsia" w:hAnsiTheme="minorEastAsia" w:eastAsiaTheme="minorEastAsia"/>
          <w:b/>
          <w:sz w:val="21"/>
          <w:szCs w:val="21"/>
        </w:rPr>
        <w:outlineLvl w:val="1"/>
      </w:pPr>
      <w:r>
        <w:rPr>
          <w:rFonts w:asciiTheme="minorEastAsia" w:hAnsiTheme="minorEastAsia" w:eastAsiaTheme="minorEastAsia"/>
          <w:b/>
          <w:sz w:val="21"/>
          <w:szCs w:val="21"/>
        </w:rPr>
        <w:t xml:space="preserve">项目的终止</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1、因情况变化，不再符合规定的竞争性磋商采购</w:t>
      </w:r>
      <w:r>
        <w:rPr>
          <w:rFonts w:hint="eastAsia" w:asciiTheme="minorEastAsia" w:hAnsiTheme="minorEastAsia" w:eastAsiaTheme="minorEastAsia"/>
          <w:sz w:val="21"/>
          <w:szCs w:val="21"/>
        </w:rPr>
        <w:t xml:space="preserve">方</w:t>
      </w:r>
      <w:r>
        <w:rPr>
          <w:rFonts w:asciiTheme="minorEastAsia" w:hAnsiTheme="minorEastAsia" w:eastAsiaTheme="minorEastAsia"/>
          <w:sz w:val="21"/>
          <w:szCs w:val="21"/>
        </w:rPr>
        <w:t xml:space="preserve">式适用情形的；</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2、出现影响采购公正的违法、违规行为的；</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3、在采购过程中符合要求的供应商或者报价未超过采购预算的供应商不足3家的；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4、在采购活动中因重大变故，采购任务取消的，采购人或者采购代理机构应当终止采购活动，通知所有参加采购活动的供应商，并将项目实施情况和采购任务取消原因报送本级财政部门。</w:t>
      </w:r>
      <w:r/>
    </w:p>
    <w:p>
      <w:pPr>
        <w:numPr>
          <w:ilvl w:val="0"/>
          <w:numId w:val="7"/>
        </w:num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询问</w:t>
      </w:r>
      <w:r>
        <w:rPr>
          <w:rFonts w:asciiTheme="minorEastAsia" w:hAnsiTheme="minorEastAsia" w:eastAsiaTheme="minorEastAsia"/>
          <w:b/>
          <w:sz w:val="21"/>
          <w:szCs w:val="21"/>
        </w:rPr>
        <w:t xml:space="preserve">与质疑方式</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、询问</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供应商对磋商文件如有疑问，</w:t>
      </w:r>
      <w:r>
        <w:rPr>
          <w:rFonts w:hint="eastAsia" w:asciiTheme="minorEastAsia" w:hAnsiTheme="minorEastAsia" w:eastAsiaTheme="minorEastAsia"/>
          <w:sz w:val="21"/>
          <w:szCs w:val="21"/>
        </w:rPr>
        <w:t xml:space="preserve">请将疑问</w:t>
      </w:r>
      <w:r>
        <w:rPr>
          <w:rFonts w:asciiTheme="minorEastAsia" w:hAnsiTheme="minorEastAsia" w:eastAsiaTheme="minorEastAsia"/>
          <w:sz w:val="21"/>
          <w:szCs w:val="21"/>
        </w:rPr>
        <w:t xml:space="preserve">不限于书面形式</w:t>
      </w:r>
      <w:r>
        <w:rPr>
          <w:rFonts w:hint="eastAsia" w:asciiTheme="minorEastAsia" w:hAnsiTheme="minorEastAsia" w:eastAsiaTheme="minorEastAsia"/>
          <w:sz w:val="21"/>
          <w:szCs w:val="21"/>
        </w:rPr>
        <w:t xml:space="preserve">递交至采购代理机构，采购</w:t>
      </w:r>
      <w:r>
        <w:rPr>
          <w:rFonts w:asciiTheme="minorEastAsia" w:hAnsiTheme="minorEastAsia" w:eastAsiaTheme="minorEastAsia"/>
          <w:sz w:val="21"/>
          <w:szCs w:val="21"/>
        </w:rPr>
        <w:t xml:space="preserve">代理机构将</w:t>
      </w:r>
      <w:r>
        <w:rPr>
          <w:rFonts w:hint="eastAsia" w:asciiTheme="minorEastAsia" w:hAnsiTheme="minorEastAsia" w:eastAsiaTheme="minorEastAsia"/>
          <w:sz w:val="21"/>
          <w:szCs w:val="21"/>
        </w:rPr>
        <w:t xml:space="preserve">在3个工作日内对供应商依法提出的询问作出答复。</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2.1供应商认为磋商文件、采购过程、成交结果使自己的权益受到损害的，可以在知道或者应知其权益受到损害之日起7个工作日内，以书面形式向采购人、采购代理机构提出质疑。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2.2磋商文件可以要求供应商在法定质疑期内一次性提出针对同一采购程序环节的质疑。</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2.3提出质疑的供应商应当是参与所质疑项目采购活动的供应商</w:t>
      </w:r>
      <w:r>
        <w:rPr>
          <w:rFonts w:hint="eastAsia" w:asciiTheme="minorEastAsia" w:hAnsiTheme="minorEastAsia" w:eastAsiaTheme="minorEastAsia"/>
          <w:sz w:val="21"/>
          <w:szCs w:val="21"/>
        </w:rPr>
        <w:t xml:space="preserve">，质疑时提供网上下载成功的确认单与质疑函一并提交。</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2.4潜在供应商已依法获取其可质疑的磋商文件的，可以对该文件提出质疑。对磋商文件提出质疑的，应当在获取磋商文件或者磋商文件公告期限届满之日起7个工作日内提出</w:t>
      </w:r>
      <w:r>
        <w:rPr>
          <w:rFonts w:hint="eastAsia"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2.5采购人、采购代理机构不得拒收质疑供应商在法定质疑期内发出的质疑函，应当在收到质疑函后7个工作日内作出答复，并以书面形式通知质疑供应商和其他有关供应商。</w:t>
      </w:r>
      <w:r/>
    </w:p>
    <w:p>
      <w:pPr>
        <w:ind w:firstLine="420"/>
        <w:spacing w:line="276" w:lineRule="auto"/>
        <w:tabs>
          <w:tab w:val="left" w:pos="567"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2.6</w:t>
      </w:r>
      <w:r>
        <w:rPr>
          <w:rFonts w:hint="eastAsia" w:asciiTheme="minorEastAsia" w:hAnsiTheme="minorEastAsia" w:eastAsiaTheme="minorEastAsia"/>
          <w:sz w:val="21"/>
          <w:szCs w:val="21"/>
        </w:rPr>
        <w:t xml:space="preserve">有关</w:t>
      </w:r>
      <w:r>
        <w:rPr>
          <w:rFonts w:asciiTheme="minorEastAsia" w:hAnsiTheme="minorEastAsia" w:eastAsiaTheme="minorEastAsia"/>
          <w:sz w:val="21"/>
          <w:szCs w:val="21"/>
        </w:rPr>
        <w:t xml:space="preserve">质疑和投诉</w:t>
      </w:r>
      <w:r>
        <w:rPr>
          <w:rFonts w:hint="eastAsia" w:asciiTheme="minorEastAsia" w:hAnsiTheme="minorEastAsia" w:eastAsiaTheme="minorEastAsia"/>
          <w:sz w:val="21"/>
          <w:szCs w:val="21"/>
        </w:rPr>
        <w:t xml:space="preserve">未尽</w:t>
      </w:r>
      <w:r>
        <w:rPr>
          <w:rFonts w:asciiTheme="minorEastAsia" w:hAnsiTheme="minorEastAsia" w:eastAsiaTheme="minorEastAsia"/>
          <w:sz w:val="21"/>
          <w:szCs w:val="21"/>
        </w:rPr>
        <w:t xml:space="preserve">事宜</w:t>
      </w:r>
      <w:r>
        <w:rPr>
          <w:rFonts w:hint="eastAsia" w:asciiTheme="minorEastAsia" w:hAnsiTheme="minorEastAsia" w:eastAsiaTheme="minorEastAsia"/>
          <w:sz w:val="21"/>
          <w:szCs w:val="21"/>
        </w:rPr>
        <w:t xml:space="preserve">依照中华人民共和国财政部</w:t>
      </w:r>
      <w:r>
        <w:rPr>
          <w:rFonts w:asciiTheme="minorEastAsia" w:hAnsiTheme="minorEastAsia" w:eastAsiaTheme="minorEastAsia"/>
          <w:sz w:val="21"/>
          <w:szCs w:val="21"/>
        </w:rPr>
        <w:t xml:space="preserve">第</w:t>
      </w:r>
      <w:r>
        <w:rPr>
          <w:rFonts w:hint="eastAsia" w:asciiTheme="minorEastAsia" w:hAnsiTheme="minorEastAsia" w:eastAsiaTheme="minorEastAsia"/>
          <w:sz w:val="21"/>
          <w:szCs w:val="21"/>
        </w:rPr>
        <w:t xml:space="preserve">94号</w:t>
      </w:r>
      <w:r>
        <w:rPr>
          <w:rFonts w:asciiTheme="minorEastAsia" w:hAnsiTheme="minorEastAsia" w:eastAsiaTheme="minorEastAsia"/>
          <w:sz w:val="21"/>
          <w:szCs w:val="21"/>
        </w:rPr>
        <w:t xml:space="preserve">令</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政府采购质疑和投诉办法</w:t>
      </w:r>
      <w:r>
        <w:rPr>
          <w:rFonts w:hint="eastAsia" w:asciiTheme="minorEastAsia" w:hAnsiTheme="minorEastAsia" w:eastAsiaTheme="minorEastAsia"/>
          <w:sz w:val="21"/>
          <w:szCs w:val="21"/>
        </w:rPr>
        <w:t xml:space="preserve">》规定执行</w:t>
      </w:r>
      <w:r>
        <w:rPr>
          <w:rFonts w:asciiTheme="minorEastAsia" w:hAnsiTheme="minorEastAsia" w:eastAsiaTheme="minorEastAsia"/>
          <w:sz w:val="21"/>
          <w:szCs w:val="21"/>
        </w:rPr>
        <w:t xml:space="preserve">。</w:t>
      </w:r>
      <w:r/>
    </w:p>
    <w:p>
      <w:pPr>
        <w:ind w:firstLine="420"/>
        <w:spacing w:line="276" w:lineRule="auto"/>
        <w:tabs>
          <w:tab w:val="left" w:pos="567" w:leader="none"/>
        </w:tabs>
        <w:rPr>
          <w:rFonts w:asciiTheme="minorEastAsia" w:hAnsiTheme="minorEastAsia" w:eastAsiaTheme="minorEastAsia"/>
          <w:sz w:val="21"/>
          <w:szCs w:val="21"/>
        </w:rPr>
      </w:pPr>
      <w:r/>
      <w:bookmarkStart w:id="141" w:name="_Toc508715092"/>
      <w:r>
        <w:rPr>
          <w:rFonts w:hint="eastAsia" w:asciiTheme="minorEastAsia" w:hAnsiTheme="minorEastAsia" w:eastAsiaTheme="minorEastAsia"/>
          <w:sz w:val="21"/>
          <w:szCs w:val="21"/>
        </w:rPr>
        <w:t xml:space="preserve">3、质疑的受理与答复</w:t>
      </w:r>
      <w:bookmarkEnd w:id="141"/>
      <w:r/>
      <w:r/>
    </w:p>
    <w:p>
      <w:pPr>
        <w:ind w:firstLine="420"/>
        <w:spacing w:line="276" w:lineRule="auto"/>
        <w:tabs>
          <w:tab w:val="left" w:pos="567" w:leader="none"/>
        </w:tabs>
        <w:rPr>
          <w:rFonts w:asciiTheme="minorEastAsia" w:hAnsiTheme="minorEastAsia" w:eastAsiaTheme="minorEastAsia"/>
          <w:sz w:val="21"/>
          <w:szCs w:val="21"/>
        </w:rPr>
      </w:pPr>
      <w:r/>
      <w:bookmarkStart w:id="142" w:name="_Toc508715093"/>
      <w:r>
        <w:rPr>
          <w:rFonts w:asciiTheme="minorEastAsia" w:hAnsiTheme="minorEastAsia" w:eastAsiaTheme="minorEastAsia"/>
          <w:sz w:val="21"/>
          <w:szCs w:val="21"/>
        </w:rPr>
        <w:t xml:space="preserve">3.1</w:t>
      </w:r>
      <w:r>
        <w:rPr>
          <w:rFonts w:hint="eastAsia" w:asciiTheme="minorEastAsia" w:hAnsiTheme="minorEastAsia" w:eastAsiaTheme="minorEastAsia"/>
          <w:sz w:val="21"/>
          <w:szCs w:val="21"/>
        </w:rPr>
        <w:t xml:space="preserve">采购人负责供应商质疑答复，采购人委托采购代理机构采购的，采购代理机构在委托授权范围内作出答复。</w:t>
      </w:r>
      <w:bookmarkEnd w:id="142"/>
      <w:r/>
      <w:r/>
    </w:p>
    <w:p>
      <w:pPr>
        <w:ind w:firstLine="420"/>
        <w:spacing w:line="276" w:lineRule="auto"/>
        <w:tabs>
          <w:tab w:val="left" w:pos="567" w:leader="none"/>
        </w:tabs>
        <w:rPr>
          <w:rFonts w:asciiTheme="minorEastAsia" w:hAnsiTheme="minorEastAsia" w:eastAsiaTheme="minorEastAsia"/>
          <w:sz w:val="21"/>
          <w:szCs w:val="21"/>
        </w:rPr>
      </w:pPr>
      <w:r/>
      <w:bookmarkStart w:id="143" w:name="_Toc508715094"/>
      <w:r>
        <w:rPr>
          <w:rFonts w:hint="eastAsia" w:asciiTheme="minorEastAsia" w:hAnsiTheme="minorEastAsia" w:eastAsiaTheme="minorEastAsia"/>
          <w:sz w:val="21"/>
          <w:szCs w:val="21"/>
        </w:rPr>
        <w:t xml:space="preserve">3.2质疑函由采购代理机构办理签收手续。</w:t>
      </w:r>
      <w:bookmarkEnd w:id="143"/>
      <w:r/>
      <w:r/>
    </w:p>
    <w:p>
      <w:pPr>
        <w:ind w:firstLine="420"/>
        <w:spacing w:line="276" w:lineRule="auto"/>
        <w:tabs>
          <w:tab w:val="left" w:pos="567" w:leader="none"/>
        </w:tabs>
        <w:rPr>
          <w:rFonts w:asciiTheme="minorEastAsia" w:hAnsiTheme="minorEastAsia" w:eastAsiaTheme="minorEastAsia"/>
          <w:sz w:val="21"/>
          <w:szCs w:val="21"/>
        </w:rPr>
      </w:pPr>
      <w:r/>
      <w:bookmarkStart w:id="144" w:name="_Toc508715095"/>
      <w:r>
        <w:rPr>
          <w:rFonts w:hint="eastAsia" w:asciiTheme="minorEastAsia" w:hAnsiTheme="minorEastAsia" w:eastAsiaTheme="minorEastAsia"/>
          <w:sz w:val="21"/>
          <w:szCs w:val="21"/>
        </w:rPr>
        <w:t xml:space="preserve">3.3质疑函接收单位信息：</w:t>
      </w:r>
      <w:bookmarkEnd w:id="144"/>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接收单位：苏州昊怡通招标有限公司</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地址：苏州工业园区唯新路60号38幢1101室</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联系人：刘云</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电话/传真：0512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2700513</w:t>
      </w:r>
      <w:r>
        <w:rPr>
          <w:rFonts w:hint="eastAsia" w:asciiTheme="minorEastAsia" w:hAnsiTheme="minorEastAsia" w:eastAsiaTheme="minorEastAsia"/>
          <w:sz w:val="21"/>
          <w:szCs w:val="21"/>
        </w:rPr>
        <w:t xml:space="preserve"> 邮政编码</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215121</w:t>
      </w:r>
      <w:r/>
    </w:p>
    <w:p>
      <w:pPr>
        <w:numPr>
          <w:ilvl w:val="0"/>
          <w:numId w:val="7"/>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政府采购政策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根据政府采购法及相关法规，以及苏州市财政局关于贯彻执行绿色采购、促进残疾人就业和支持监狱企业发展有关政策的通知（苏财购〔2019〕10号）文件的规定：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（一）小微企业的价格分评审</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1、中小微型企业的认定</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中小微企业在响应文件中提供签署的《中小企业声明函》，可以认定为中小企业。未在响应文件中提供《中小企业声明函》的，不享受相关中小企业扶持政策。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（二）政府采购节能产品、环境标志产品实施品目清单管理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本次采购的服务不属于《节能产品政府采购品目清单》中强制采购范围内产品，各供应商应当提供获得国家确定的认证机构出具的、处于有效期之内的节能产品认证证书的产品，上述品目清单可通过“中国政府采购网”或“苏州市政府采购网”链接查询，并在响应文件内提供由国家确定的认证机构出具的、处于有效期之内的节能产品认证证书复印件，否则视为无效投标。</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本次采购的服务不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链接查询，并在响应文件内提供由国家确定的认证机构出具的、处于有效期之内的节能产品、环境标志产品认证证书复印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3、本次采购的服务属于品目清单范围内，鼓励供应商综合考虑节能、节水、环保、循环、低碳、再生、有机等因素，参考相关国家标准、行业标准或团体标准，在实施过程中采用绿色产品或材料。</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（三）进一步明确政府采购促进残疾人就业政策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3、成交供应商为残疾人福利性单位的，采购人或者其委托的采购代理机构应当随成交、成交结果同时公告其《残疾人福利性单位声明函》，接受社会监督。</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（四）进一步明确政府采购支持监狱企业发展政策</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（五）价格分的折扣</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符合《政府采购促进中小企业发展管理办法》（财库〔2020〕46号）规定的小微企业，按照《关于进一步加大政府采购支持中小企业力度的通知》（财库〔2022〕19号）规定，对小微企业报价给予相应比例的扣除，其中货物和服务项目为20%，工程项目为5%，用扣除后的价格参加评审。</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（六）有关政府采购合同签订时间的要求</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原则上由成交通知书发出之日起30日内，采购人无正当理由不得拒绝或者拖延合同签订。</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苏财购〔2020〕52号）等有关制度规定执行。</w:t>
      </w:r>
      <w:r/>
    </w:p>
    <w:p>
      <w:pPr>
        <w:numPr>
          <w:ilvl w:val="0"/>
          <w:numId w:val="7"/>
        </w:numPr>
        <w:spacing w:line="276" w:lineRule="auto"/>
        <w:tabs>
          <w:tab w:val="left" w:pos="709" w:leader="none"/>
        </w:tabs>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信用记录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根据政府采购法及相关法规，以及苏州市财政局</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关于印发苏州市市级政府采购信用记录查询和使用工作试行办法的通知</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苏财</w:t>
      </w:r>
      <w:r>
        <w:rPr>
          <w:rFonts w:hint="eastAsia" w:asciiTheme="minorEastAsia" w:hAnsiTheme="minorEastAsia" w:eastAsiaTheme="minorEastAsia"/>
          <w:sz w:val="21"/>
          <w:szCs w:val="21"/>
        </w:rPr>
        <w:t xml:space="preserve">购（2017）11号）文件的规定，我方将依法对供应商进行信用查询，凡经磋商小组确认不符合政府采购相关法律法规规定的，将拒绝其参与政府采购活动。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1.1信用记录查询截止时点：</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采购代理机构会在接收响应文件截止时间后，登录</w:t>
      </w:r>
      <w:r>
        <w:rPr>
          <w:rFonts w:asciiTheme="minorEastAsia" w:hAnsiTheme="minorEastAsia" w:eastAsiaTheme="minorEastAsia"/>
          <w:sz w:val="21"/>
          <w:szCs w:val="21"/>
        </w:rPr>
        <w:t xml:space="preserve">信用中国</w:t>
      </w:r>
      <w:r>
        <w:rPr>
          <w:rFonts w:hint="eastAsia" w:asciiTheme="minorEastAsia" w:hAnsiTheme="minorEastAsia" w:eastAsiaTheme="minorEastAsia"/>
          <w:sz w:val="21"/>
          <w:szCs w:val="21"/>
        </w:rPr>
        <w:t xml:space="preserve">网站</w:t>
      </w:r>
      <w:r>
        <w:rPr>
          <w:rFonts w:asciiTheme="minorEastAsia" w:hAnsiTheme="minorEastAsia" w:eastAsiaTheme="minorEastAsia"/>
          <w:sz w:val="21"/>
          <w:szCs w:val="21"/>
        </w:rPr>
        <w:t xml:space="preserve">（www.creditchina.gov.cn）</w:t>
      </w:r>
      <w:r>
        <w:rPr>
          <w:rFonts w:hint="eastAsia" w:asciiTheme="minorEastAsia" w:hAnsiTheme="minorEastAsia" w:eastAsiaTheme="minorEastAsia"/>
          <w:sz w:val="21"/>
          <w:szCs w:val="21"/>
        </w:rPr>
        <w:t xml:space="preserve">和中国政府采购网（</w:t>
      </w:r>
      <w:r>
        <w:rPr>
          <w:rFonts w:asciiTheme="minorEastAsia" w:hAnsiTheme="minorEastAsia" w:eastAsiaTheme="minorEastAsia"/>
          <w:sz w:val="21"/>
          <w:szCs w:val="21"/>
        </w:rPr>
        <w:t xml:space="preserve">www.ccgp.gov.cn/</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查询供应商的信用记录，并将查询结果递交</w:t>
      </w:r>
      <w:r>
        <w:rPr>
          <w:rFonts w:hint="eastAsia" w:asciiTheme="minorEastAsia" w:hAnsiTheme="minorEastAsia" w:eastAsiaTheme="minorEastAsia"/>
          <w:sz w:val="21"/>
          <w:szCs w:val="21"/>
        </w:rPr>
        <w:t xml:space="preserve">磋商小组。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1.2信用记录查询渠道：</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来自中国政府采购网、信用中国、信用江苏、信用苏州网站的相关主体信用记录。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信用记录使用规则：</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（一）政府采购严重违法记录，即供应商被全国各级财政部门列入“政府采购严重违法失信行为记录名单”，且在处罚有效期内的。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（二）财政部门与法院、工商、税务等部门联合惩戒的失信信息，包括：</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1、被列入失信被执行人名单；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2、被列入重大税收违法案件当事人名单；</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1.4信用记录证据留存具体方式：</w:t>
      </w:r>
      <w:r/>
    </w:p>
    <w:p>
      <w:pPr>
        <w:ind w:firstLine="420"/>
        <w:spacing w:line="276" w:lineRule="auto"/>
        <w:tabs>
          <w:tab w:val="left" w:pos="567"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存在失信信息的供应商，磋商小组应填写《苏州市级政府采购供应商失信信息确认函》，由失信供应商应签名确认。同时，采购代理机构工作人员应根据磋商小组确认的失信信息，登录到来源网站页面进行复核并打印，作为证据留存。</w:t>
      </w:r>
      <w:r/>
    </w:p>
    <w:p>
      <w:pPr>
        <w:numPr>
          <w:ilvl w:val="0"/>
          <w:numId w:val="7"/>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rPr>
          <w:rFonts w:hint="eastAsia" w:asciiTheme="minorEastAsia" w:hAnsiTheme="minorEastAsia" w:eastAsiaTheme="minorEastAsia"/>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b/>
          <w:sz w:val="21"/>
          <w:szCs w:val="21"/>
        </w:rPr>
        <w:t xml:space="preserve">其他未列明行业</w:t>
      </w:r>
      <w:r>
        <w:rPr>
          <w:rFonts w:hint="eastAsia" w:asciiTheme="minorEastAsia" w:hAnsiTheme="minorEastAsia" w:eastAsiaTheme="minorEastAsia"/>
          <w:sz w:val="21"/>
          <w:szCs w:val="21"/>
        </w:rPr>
        <w:t xml:space="preserve">。</w:t>
      </w:r>
      <w:r/>
    </w:p>
    <w:p>
      <w:pPr>
        <w:numPr>
          <w:ilvl w:val="0"/>
          <w:numId w:val="7"/>
        </w:numPr>
        <w:spacing w:line="276" w:lineRule="auto"/>
        <w:tabs>
          <w:tab w:val="left" w:pos="567" w:leader="none"/>
          <w:tab w:val="left" w:pos="709" w:leader="none"/>
          <w:tab w:val="left" w:pos="851" w:leader="none"/>
        </w:tabs>
        <w:rPr>
          <w:rFonts w:asciiTheme="minorEastAsia" w:hAnsiTheme="minorEastAsia" w:eastAsiaTheme="minorEastAsia"/>
          <w:b/>
          <w:sz w:val="21"/>
          <w:szCs w:val="21"/>
        </w:rPr>
        <w:outlineLvl w:val="1"/>
      </w:pPr>
      <w:r/>
      <w:bookmarkStart w:id="145" w:name="_Toc73209038"/>
      <w:r/>
      <w:bookmarkStart w:id="146" w:name="_Toc73208477"/>
      <w:r/>
      <w:bookmarkStart w:id="147" w:name="_Toc505621541"/>
      <w:r/>
      <w:bookmarkStart w:id="148" w:name="_Toc73208694"/>
      <w:r/>
      <w:bookmarkStart w:id="149" w:name="_Toc73209109"/>
      <w:r/>
      <w:bookmarkStart w:id="150" w:name="_Toc490593768"/>
      <w:r/>
      <w:bookmarkStart w:id="151" w:name="_Toc73208787"/>
      <w:r>
        <w:rPr>
          <w:rFonts w:hint="eastAsia" w:asciiTheme="minorEastAsia" w:hAnsiTheme="minorEastAsia" w:eastAsiaTheme="minorEastAsia"/>
          <w:b/>
          <w:sz w:val="21"/>
          <w:szCs w:val="21"/>
        </w:rPr>
        <w:t xml:space="preserve">凡涉及磋商文件的补充说明或修正，均以在苏州市政府采购网上发布的补充通知为准。</w:t>
      </w:r>
      <w:r/>
    </w:p>
    <w:p>
      <w:r/>
      <w:r/>
    </w:p>
    <w:p>
      <w:r>
        <w:br w:type="column"/>
      </w:r>
      <w:r/>
    </w:p>
    <w:p>
      <w:pPr>
        <w:pStyle w:val="869"/>
        <w:jc w:val="center"/>
        <w:spacing w:before="0" w:after="0" w:line="276" w:lineRule="auto"/>
        <w:tabs>
          <w:tab w:val="left" w:pos="3570" w:leader="none"/>
        </w:tabs>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第四章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合同主要条款</w:t>
      </w:r>
      <w:bookmarkEnd w:id="119"/>
      <w:r/>
      <w:bookmarkEnd w:id="145"/>
      <w:r/>
      <w:bookmarkEnd w:id="146"/>
      <w:r/>
      <w:bookmarkEnd w:id="147"/>
      <w:r/>
      <w:bookmarkEnd w:id="148"/>
      <w:r/>
      <w:bookmarkEnd w:id="149"/>
      <w:r/>
      <w:bookmarkEnd w:id="150"/>
      <w:r/>
      <w:bookmarkEnd w:id="151"/>
      <w:r/>
      <w:bookmarkStart w:id="152" w:name="_Toc351203494"/>
      <w:r/>
      <w:r/>
    </w:p>
    <w:p>
      <w:pPr>
        <w:jc w:val="left"/>
        <w:spacing w:line="276" w:lineRule="auto"/>
        <w:tabs>
          <w:tab w:val="left" w:pos="1560" w:leader="none"/>
          <w:tab w:val="center" w:pos="4873" w:leader="none"/>
        </w:tabs>
        <w:rPr>
          <w:rFonts w:ascii="宋体" w:hAnsi="宋体" w:eastAsia="宋体"/>
          <w:b/>
          <w:sz w:val="21"/>
          <w:szCs w:val="21"/>
        </w:rPr>
      </w:pPr>
      <w:r>
        <w:rPr>
          <w:rFonts w:ascii="宋体" w:hAnsi="宋体" w:eastAsia="宋体"/>
          <w:b/>
          <w:sz w:val="24"/>
          <w:szCs w:val="24"/>
        </w:rPr>
        <w:tab/>
      </w:r>
      <w:r>
        <w:rPr>
          <w:rFonts w:ascii="宋体" w:hAnsi="宋体" w:eastAsia="宋体"/>
          <w:b/>
          <w:sz w:val="24"/>
          <w:szCs w:val="24"/>
        </w:rPr>
        <w:tab/>
      </w:r>
      <w:r>
        <w:rPr>
          <w:rFonts w:hint="eastAsia" w:ascii="宋体" w:hAnsi="宋体" w:eastAsia="宋体"/>
          <w:b/>
          <w:sz w:val="21"/>
          <w:szCs w:val="21"/>
        </w:rPr>
        <w:t xml:space="preserve">政府采购合同</w:t>
      </w:r>
      <w:r/>
    </w:p>
    <w:p>
      <w:pPr>
        <w:jc w:val="left"/>
        <w:spacing w:line="276" w:lineRule="auto"/>
        <w:rPr>
          <w:rFonts w:ascii="宋体" w:hAnsi="宋体" w:eastAsia="宋体"/>
          <w:b/>
          <w:sz w:val="21"/>
          <w:szCs w:val="21"/>
        </w:rPr>
      </w:pPr>
      <w:r>
        <w:rPr>
          <w:rFonts w:hint="eastAsia" w:ascii="宋体" w:hAnsi="宋体" w:eastAsia="宋体"/>
          <w:b/>
          <w:sz w:val="21"/>
          <w:szCs w:val="21"/>
        </w:rPr>
        <w:t xml:space="preserve">项目名称：无人机“综合飞一次”项目</w:t>
      </w:r>
      <w:r/>
    </w:p>
    <w:p>
      <w:pPr>
        <w:jc w:val="left"/>
        <w:spacing w:line="276" w:lineRule="auto"/>
        <w:rPr>
          <w:rFonts w:ascii="宋体" w:hAnsi="宋体" w:eastAsia="宋体"/>
          <w:b/>
          <w:sz w:val="21"/>
          <w:szCs w:val="21"/>
        </w:rPr>
      </w:pPr>
      <w:r>
        <w:rPr>
          <w:rFonts w:hint="eastAsia" w:ascii="宋体" w:hAnsi="宋体" w:eastAsia="宋体"/>
          <w:b/>
          <w:sz w:val="21"/>
          <w:szCs w:val="21"/>
        </w:rPr>
        <w:t xml:space="preserve">项目编号：</w:t>
      </w:r>
      <w:r>
        <w:rPr>
          <w:rFonts w:ascii="宋体" w:hAnsi="宋体" w:eastAsia="宋体"/>
          <w:b/>
          <w:sz w:val="21"/>
          <w:szCs w:val="21"/>
        </w:rPr>
        <w:t xml:space="preserve">JSZC-320506111-HYTZ-C2026-0001</w:t>
      </w:r>
      <w:r/>
    </w:p>
    <w:p>
      <w:r/>
      <w:r/>
    </w:p>
    <w:p>
      <w:pPr>
        <w:spacing w:line="276" w:lineRule="auto"/>
        <w:rPr>
          <w:rFonts w:ascii="宋体" w:hAnsi="宋体" w:eastAsia="宋体"/>
          <w:sz w:val="21"/>
          <w:szCs w:val="21"/>
        </w:rPr>
      </w:pPr>
      <w:r>
        <w:rPr>
          <w:rFonts w:hint="eastAsia" w:ascii="宋体" w:hAnsi="宋体" w:eastAsia="宋体"/>
          <w:sz w:val="21"/>
          <w:szCs w:val="21"/>
        </w:rPr>
        <w:t xml:space="preserve">甲方（采购人）：</w:t>
      </w:r>
      <w:r/>
    </w:p>
    <w:p>
      <w:pPr>
        <w:spacing w:line="276" w:lineRule="auto"/>
        <w:rPr>
          <w:rFonts w:ascii="宋体" w:hAnsi="宋体" w:eastAsia="宋体"/>
          <w:sz w:val="21"/>
          <w:szCs w:val="21"/>
        </w:rPr>
      </w:pPr>
      <w:r>
        <w:rPr>
          <w:rFonts w:hint="eastAsia" w:ascii="宋体" w:hAnsi="宋体" w:eastAsia="宋体"/>
          <w:sz w:val="21"/>
          <w:szCs w:val="21"/>
        </w:rPr>
        <w:t xml:space="preserve">联系电话：</w:t>
      </w:r>
      <w:r/>
    </w:p>
    <w:p>
      <w:pPr>
        <w:spacing w:line="276" w:lineRule="auto"/>
        <w:rPr>
          <w:rFonts w:ascii="宋体" w:hAnsi="宋体" w:eastAsia="宋体"/>
          <w:sz w:val="21"/>
          <w:szCs w:val="21"/>
        </w:rPr>
      </w:pPr>
      <w:r>
        <w:rPr>
          <w:rFonts w:hint="eastAsia" w:ascii="宋体" w:hAnsi="宋体" w:eastAsia="宋体"/>
          <w:sz w:val="21"/>
          <w:szCs w:val="21"/>
        </w:rPr>
        <w:t xml:space="preserve">地址：</w:t>
      </w:r>
      <w:r/>
    </w:p>
    <w:p>
      <w:r/>
      <w:r/>
    </w:p>
    <w:p>
      <w:pPr>
        <w:spacing w:line="276" w:lineRule="auto"/>
        <w:rPr>
          <w:rFonts w:ascii="宋体" w:hAnsi="宋体" w:eastAsia="宋体"/>
          <w:sz w:val="21"/>
          <w:szCs w:val="21"/>
        </w:rPr>
      </w:pPr>
      <w:r>
        <w:rPr>
          <w:rFonts w:hint="eastAsia" w:ascii="宋体" w:hAnsi="宋体" w:eastAsia="宋体"/>
          <w:sz w:val="21"/>
          <w:szCs w:val="21"/>
        </w:rPr>
        <w:t xml:space="preserve">乙方（供应方）：</w:t>
      </w:r>
      <w:r/>
    </w:p>
    <w:p>
      <w:pPr>
        <w:spacing w:line="276" w:lineRule="auto"/>
        <w:rPr>
          <w:rFonts w:ascii="宋体" w:hAnsi="宋体" w:eastAsia="宋体"/>
          <w:sz w:val="21"/>
          <w:szCs w:val="21"/>
        </w:rPr>
      </w:pPr>
      <w:r>
        <w:rPr>
          <w:rFonts w:hint="eastAsia" w:ascii="宋体" w:hAnsi="宋体" w:eastAsia="宋体"/>
          <w:sz w:val="21"/>
          <w:szCs w:val="21"/>
        </w:rPr>
        <w:t xml:space="preserve">联系电话：</w:t>
      </w:r>
      <w:r/>
    </w:p>
    <w:p>
      <w:pPr>
        <w:spacing w:line="276" w:lineRule="auto"/>
        <w:rPr>
          <w:rFonts w:ascii="宋体" w:hAnsi="宋体" w:eastAsia="宋体"/>
          <w:sz w:val="21"/>
          <w:szCs w:val="21"/>
        </w:rPr>
      </w:pPr>
      <w:r>
        <w:rPr>
          <w:rFonts w:hint="eastAsia" w:ascii="宋体" w:hAnsi="宋体" w:eastAsia="宋体"/>
          <w:sz w:val="21"/>
          <w:szCs w:val="21"/>
        </w:rPr>
        <w:t xml:space="preserve">地址：</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中华人民共和国民法典》和《中华人民共和国政府采购法》等有关法律法规，为明确采购人（甲方）和供应方（乙方）购销过程中的权利、义务和经济责任，双方遵循平等、自愿、公平和诚实信用原则，经友好协商，同意按照下面的条款和条件订立本合同，以资共同遵守。</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一、</w:t>
      </w:r>
      <w:r>
        <w:rPr>
          <w:rFonts w:hint="eastAsia" w:ascii="宋体" w:hAnsi="宋体" w:eastAsia="宋体"/>
          <w:b/>
          <w:color w:val="000000"/>
          <w:sz w:val="21"/>
          <w:szCs w:val="21"/>
        </w:rPr>
        <w:t xml:space="preserve">定义</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以下术语有特定的含义：</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服务是指根据合同约定乙方应承担</w:t>
      </w:r>
      <w:r>
        <w:rPr>
          <w:rFonts w:ascii="宋体" w:hAnsi="宋体" w:eastAsia="宋体"/>
          <w:color w:val="000000"/>
          <w:sz w:val="21"/>
          <w:szCs w:val="21"/>
          <w:u w:val="single"/>
        </w:rPr>
        <w:t xml:space="preserve">无人机“综合飞一次”项目</w:t>
      </w:r>
      <w:r>
        <w:rPr>
          <w:rFonts w:hint="eastAsia" w:ascii="宋体" w:hAnsi="宋体" w:eastAsia="宋体"/>
          <w:color w:val="000000"/>
          <w:sz w:val="21"/>
          <w:szCs w:val="21"/>
        </w:rPr>
        <w:t xml:space="preserve">等工作和合同中约定乙方应承担的其他义务。</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合同价款是指根据成交供应商的响应文件和合同约定，乙方在全面履行合同义务后甲方应支付给乙方的价款。</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甲方是指合同中明确约定的实际购买和接受服务的单位。</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乙方是指合同中约定的提供服务的单位。</w:t>
      </w:r>
      <w:r/>
    </w:p>
    <w:p>
      <w:pPr>
        <w:ind w:firstLine="422"/>
        <w:spacing w:line="273" w:lineRule="auto"/>
        <w:rPr>
          <w:rFonts w:ascii="宋体" w:hAnsi="宋体" w:eastAsia="宋体"/>
          <w:sz w:val="21"/>
          <w:szCs w:val="21"/>
        </w:rPr>
      </w:pPr>
      <w:r>
        <w:rPr>
          <w:rFonts w:hint="eastAsia" w:ascii="宋体" w:hAnsi="宋体" w:eastAsia="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sz w:val="21"/>
          <w:szCs w:val="21"/>
        </w:rPr>
        <w:t xml:space="preserve">。</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二、合同项目及期限</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1.乙方负责</w:t>
      </w:r>
      <w:r>
        <w:rPr>
          <w:rFonts w:hint="eastAsia" w:ascii="宋体" w:hAnsi="宋体" w:eastAsia="宋体"/>
          <w:sz w:val="21"/>
          <w:szCs w:val="21"/>
          <w:u w:val="single"/>
        </w:rPr>
        <w:t xml:space="preserve"> </w:t>
      </w:r>
      <w:r>
        <w:rPr>
          <w:rFonts w:ascii="宋体" w:hAnsi="宋体" w:eastAsia="宋体"/>
          <w:color w:val="000000"/>
          <w:sz w:val="21"/>
          <w:szCs w:val="21"/>
          <w:u w:val="single"/>
        </w:rPr>
        <w:t xml:space="preserve">无人机“综合飞一次”项目</w:t>
      </w:r>
      <w:r>
        <w:rPr>
          <w:rFonts w:hint="eastAsia" w:ascii="宋体" w:hAnsi="宋体" w:eastAsia="宋体"/>
          <w:sz w:val="21"/>
          <w:szCs w:val="21"/>
        </w:rPr>
        <w:t xml:space="preserve">的服务工作。</w:t>
      </w:r>
      <w:r/>
    </w:p>
    <w:p>
      <w:pPr>
        <w:ind w:firstLine="420"/>
        <w:spacing w:line="273" w:lineRule="auto"/>
        <w:rPr>
          <w:rFonts w:ascii="宋体" w:hAnsi="宋体" w:eastAsia="宋体"/>
          <w:color w:val="000000"/>
          <w:sz w:val="21"/>
          <w:szCs w:val="21"/>
        </w:rPr>
      </w:pPr>
      <w:r>
        <w:rPr>
          <w:rFonts w:hint="eastAsia" w:ascii="宋体" w:hAnsi="宋体" w:eastAsia="宋体"/>
          <w:sz w:val="21"/>
          <w:szCs w:val="21"/>
        </w:rPr>
        <w:t xml:space="preserve">2.</w:t>
      </w:r>
      <w:r>
        <w:rPr>
          <w:rFonts w:hint="eastAsia" w:ascii="宋体" w:hAnsi="宋体" w:eastAsia="宋体"/>
          <w:color w:val="000000"/>
          <w:sz w:val="21"/>
          <w:szCs w:val="21"/>
        </w:rPr>
        <w:t xml:space="preserve">合同履行期限：</w:t>
      </w:r>
      <w:r>
        <w:rPr>
          <w:rFonts w:hint="eastAsia" w:asciiTheme="minorEastAsia" w:hAnsiTheme="minorEastAsia" w:eastAsiaTheme="minorEastAsia"/>
          <w:sz w:val="21"/>
          <w:szCs w:val="21"/>
        </w:rPr>
        <w:t xml:space="preserve">双方合同签订之日起3个月内完成系统部署、调试和上线工作，进入服务期；服务期限为自正式上线之日起3年</w:t>
      </w:r>
      <w:r>
        <w:rPr>
          <w:rFonts w:hint="eastAsia" w:ascii="宋体" w:hAnsi="宋体" w:eastAsia="宋体"/>
          <w:color w:val="000000"/>
          <w:sz w:val="21"/>
          <w:szCs w:val="21"/>
        </w:rPr>
        <w:t xml:space="preserve">。</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售后服务：</w:t>
      </w:r>
      <w:r>
        <w:rPr>
          <w:rFonts w:hint="eastAsia" w:ascii="宋体" w:hAnsi="宋体" w:eastAsia="宋体"/>
          <w:sz w:val="21"/>
          <w:szCs w:val="21"/>
        </w:rPr>
        <w:t xml:space="preserve">乙方</w:t>
      </w:r>
      <w:r>
        <w:rPr>
          <w:rFonts w:hint="eastAsia" w:asciiTheme="minorEastAsia" w:hAnsiTheme="minorEastAsia" w:eastAsiaTheme="minorEastAsia"/>
          <w:sz w:val="21"/>
          <w:szCs w:val="21"/>
        </w:rPr>
        <w:t xml:space="preserve">对出现故障在10分钟内响应，</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小时以内到现场，</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小时以内提出问题解决方案并采取相应措施保障用户正常使用。</w:t>
      </w:r>
      <w:r>
        <w:rPr>
          <w:rFonts w:hint="eastAsia" w:ascii="宋体" w:hAnsi="宋体" w:eastAsia="宋体"/>
          <w:sz w:val="21"/>
          <w:szCs w:val="21"/>
        </w:rPr>
        <w:t xml:space="preserve">乙方</w:t>
      </w:r>
      <w:r>
        <w:rPr>
          <w:rFonts w:hint="eastAsia" w:asciiTheme="minorEastAsia" w:hAnsiTheme="minorEastAsia" w:eastAsiaTheme="minorEastAsia"/>
          <w:sz w:val="21"/>
          <w:szCs w:val="21"/>
        </w:rPr>
        <w:t xml:space="preserve">严格遵守服务合约，项目完成以后，如甲方有需要</w:t>
      </w:r>
      <w:r>
        <w:rPr>
          <w:rFonts w:hint="eastAsia" w:ascii="宋体" w:hAnsi="宋体" w:eastAsia="宋体"/>
          <w:sz w:val="21"/>
          <w:szCs w:val="21"/>
        </w:rPr>
        <w:t xml:space="preserve">乙方</w:t>
      </w:r>
      <w:r>
        <w:rPr>
          <w:rFonts w:hint="eastAsia" w:asciiTheme="minorEastAsia" w:hAnsiTheme="minorEastAsia" w:eastAsiaTheme="minorEastAsia"/>
          <w:sz w:val="21"/>
          <w:szCs w:val="21"/>
        </w:rPr>
        <w:t xml:space="preserve">配合的服务，</w:t>
      </w:r>
      <w:r>
        <w:rPr>
          <w:rFonts w:hint="eastAsia" w:ascii="宋体" w:hAnsi="宋体" w:eastAsia="宋体"/>
          <w:sz w:val="21"/>
          <w:szCs w:val="21"/>
        </w:rPr>
        <w:t xml:space="preserve">乙方</w:t>
      </w:r>
      <w:r>
        <w:rPr>
          <w:rFonts w:hint="eastAsia" w:asciiTheme="minorEastAsia" w:hAnsiTheme="minorEastAsia" w:eastAsiaTheme="minorEastAsia"/>
          <w:sz w:val="21"/>
          <w:szCs w:val="21"/>
        </w:rPr>
        <w:t xml:space="preserve">应予以配合。</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4.服务地点：根据甲方指定地点。</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5.服务内容和要求：</w:t>
      </w:r>
      <w:r>
        <w:rPr>
          <w:rFonts w:hint="eastAsia" w:ascii="宋体" w:hAnsi="宋体" w:eastAsia="宋体"/>
          <w:sz w:val="21"/>
          <w:szCs w:val="21"/>
          <w:u w:val="single"/>
        </w:rPr>
        <w:t xml:space="preserve">详见磋商文件</w:t>
      </w:r>
      <w:r>
        <w:rPr>
          <w:rFonts w:hint="eastAsia" w:ascii="宋体" w:hAnsi="宋体" w:eastAsia="宋体"/>
          <w:sz w:val="21"/>
          <w:szCs w:val="21"/>
        </w:rPr>
        <w:t xml:space="preserve">。</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三、合同总价款：</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1、合同总价款（含税）：大写人民币</w:t>
      </w:r>
      <w:r>
        <w:rPr>
          <w:rFonts w:hint="eastAsia" w:ascii="宋体" w:hAnsi="宋体" w:eastAsia="宋体"/>
          <w:sz w:val="21"/>
          <w:szCs w:val="21"/>
          <w:u w:val="single"/>
        </w:rPr>
        <w:t xml:space="preserve">           元整</w:t>
      </w:r>
      <w:r>
        <w:rPr>
          <w:rFonts w:hint="eastAsia" w:ascii="宋体" w:hAnsi="宋体" w:eastAsia="宋体"/>
          <w:sz w:val="21"/>
          <w:szCs w:val="21"/>
        </w:rPr>
        <w:t xml:space="preserve">，小写￥</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合同总价款包括</w:t>
      </w:r>
      <w:r>
        <w:rPr>
          <w:rFonts w:hint="eastAsia" w:ascii="宋体" w:hAnsi="宋体" w:eastAsia="宋体"/>
          <w:sz w:val="21"/>
          <w:szCs w:val="21"/>
        </w:rPr>
        <w:t xml:space="preserve">包含人工费、材料费、机械使用费、措施费管理费、安装调试、技术支持、售后服务及相关劳务支出、保险费、利润、税金、政策性文件规定及合同包含的所有风险、责任等完成本项目的各项应有费用。</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2"/>
        <w:spacing w:line="273" w:lineRule="auto"/>
        <w:rPr>
          <w:rFonts w:ascii="宋体" w:hAnsi="宋体" w:eastAsia="宋体"/>
          <w:b/>
          <w:color w:val="000000"/>
          <w:sz w:val="21"/>
          <w:szCs w:val="21"/>
        </w:rPr>
      </w:pPr>
      <w:r>
        <w:rPr>
          <w:rFonts w:hint="eastAsia" w:ascii="宋体" w:hAnsi="宋体" w:eastAsia="宋体"/>
          <w:b/>
          <w:color w:val="000000"/>
          <w:sz w:val="21"/>
          <w:szCs w:val="21"/>
        </w:rPr>
        <w:t xml:space="preserve">四、付款方式及比例</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1.付款步骤及比例：</w:t>
      </w:r>
      <w:r/>
    </w:p>
    <w:p>
      <w:pPr>
        <w:ind w:firstLine="420"/>
        <w:spacing w:line="276" w:lineRule="auto"/>
        <w:rPr>
          <w:rFonts w:ascii="宋体" w:hAnsi="宋体" w:eastAsia="宋体"/>
          <w:sz w:val="21"/>
          <w:szCs w:val="21"/>
        </w:rPr>
      </w:pPr>
      <w:r>
        <w:rPr>
          <w:rFonts w:hint="eastAsia" w:ascii="宋体" w:hAnsi="宋体" w:eastAsia="宋体" w:cs="宋体"/>
          <w:sz w:val="21"/>
          <w:szCs w:val="21"/>
        </w:rPr>
        <w:t xml:space="preserve">合同生效后，在服务期内按进度分期支付，系统部署完成后支付最高合同金额的50%；验收（考核）合格后付至</w:t>
      </w:r>
      <w:bookmarkStart w:id="153" w:name="OLE_LINK7"/>
      <w:r/>
      <w:bookmarkStart w:id="154" w:name="OLE_LINK8"/>
      <w:r>
        <w:rPr>
          <w:rFonts w:hint="eastAsia" w:ascii="宋体" w:hAnsi="宋体" w:eastAsia="宋体" w:cs="宋体"/>
          <w:sz w:val="21"/>
          <w:szCs w:val="21"/>
        </w:rPr>
        <w:t xml:space="preserve">合同金额</w:t>
      </w:r>
      <w:bookmarkEnd w:id="153"/>
      <w:r/>
      <w:bookmarkEnd w:id="154"/>
      <w:r>
        <w:rPr>
          <w:rFonts w:hint="eastAsia" w:ascii="宋体" w:hAnsi="宋体" w:eastAsia="宋体" w:cs="宋体"/>
          <w:sz w:val="21"/>
          <w:szCs w:val="21"/>
        </w:rPr>
        <w:t xml:space="preserve">的80%；余款在全部验收（考核）合格后一年内付清</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2.在签订合同时，乙方明确表示无需预付款或者主动要求降低预付款比例的，甲方可不适用上述关于预付款的规定。</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3.按照《江苏省财政厅 国家金融监管总局江苏监管局 江苏省地方金融监督管理局关于在全省政府采购领域推行电子履约保函(保险)的通知》和相关法律法规规定，采购人如向成交供应商收取履约保证金的，供应商可以以履约保函(保险)的形式代替提供履约保证金。</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、乙方请求付款时应提供以下资料：</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（1）合法的增值税专用发票。</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（2）请求支付尾款时，提供甲乙双方签章的《政府采购履约</w:t>
      </w:r>
      <w:bookmarkStart w:id="155" w:name="OLE_LINK43"/>
      <w:r/>
      <w:bookmarkStart w:id="156" w:name="OLE_LINK41"/>
      <w:r>
        <w:rPr>
          <w:rFonts w:hint="eastAsia" w:ascii="宋体" w:hAnsi="宋体" w:eastAsia="宋体"/>
          <w:sz w:val="21"/>
          <w:szCs w:val="21"/>
        </w:rPr>
        <w:t xml:space="preserve">验收</w:t>
      </w:r>
      <w:bookmarkEnd w:id="155"/>
      <w:r/>
      <w:bookmarkEnd w:id="156"/>
      <w:r>
        <w:rPr>
          <w:rFonts w:hint="eastAsia" w:ascii="宋体" w:hAnsi="宋体" w:eastAsia="宋体"/>
          <w:sz w:val="21"/>
          <w:szCs w:val="21"/>
        </w:rPr>
        <w:t xml:space="preserve">书》。</w:t>
      </w:r>
      <w:r/>
    </w:p>
    <w:p>
      <w:pPr>
        <w:ind w:firstLine="420"/>
        <w:spacing w:line="276"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、支付方式：银行转账。</w:t>
      </w:r>
      <w:r/>
    </w:p>
    <w:p>
      <w:pPr>
        <w:ind w:firstLine="420"/>
        <w:spacing w:line="276" w:lineRule="auto"/>
        <w:widowControl/>
        <w:rPr>
          <w:rFonts w:ascii="宋体" w:hAnsi="宋体" w:eastAsia="宋体" w:cs="仿宋_GB2312"/>
          <w:sz w:val="21"/>
          <w:szCs w:val="21"/>
        </w:rPr>
      </w:pPr>
      <w:r>
        <w:rPr>
          <w:rFonts w:hint="eastAsia" w:ascii="宋体" w:hAnsi="宋体" w:eastAsia="宋体" w:cs="仿宋_GB2312"/>
          <w:sz w:val="21"/>
          <w:szCs w:val="21"/>
        </w:rPr>
        <w:t xml:space="preserve">乙方指定银行账户信息如下：</w:t>
      </w:r>
      <w:r/>
    </w:p>
    <w:p>
      <w:pPr>
        <w:ind w:firstLine="420"/>
        <w:spacing w:line="276" w:lineRule="auto"/>
        <w:widowControl/>
        <w:rPr>
          <w:rFonts w:ascii="宋体" w:hAnsi="宋体" w:eastAsia="宋体" w:cs="仿宋_GB2312"/>
          <w:sz w:val="21"/>
          <w:szCs w:val="21"/>
        </w:rPr>
      </w:pPr>
      <w:r>
        <w:rPr>
          <w:rFonts w:hint="eastAsia" w:ascii="宋体" w:hAnsi="宋体" w:eastAsia="宋体" w:cs="仿宋_GB2312"/>
          <w:sz w:val="21"/>
          <w:szCs w:val="21"/>
        </w:rPr>
        <w:t xml:space="preserve">开户行：</w:t>
      </w:r>
      <w:bookmarkStart w:id="157" w:name="OLE_LINK3"/>
      <w:r/>
      <w:bookmarkStart w:id="158" w:name="OLE_LINK6"/>
      <w:r/>
      <w:bookmarkStart w:id="159" w:name="OLE_LINK2"/>
      <w:r>
        <w:rPr>
          <w:rFonts w:hint="eastAsia" w:ascii="宋体" w:hAnsi="宋体" w:eastAsia="宋体" w:cs="仿宋_GB2312"/>
          <w:sz w:val="21"/>
          <w:szCs w:val="21"/>
        </w:rPr>
        <w:t xml:space="preserve">【】</w:t>
      </w:r>
      <w:bookmarkEnd w:id="157"/>
      <w:r/>
      <w:bookmarkEnd w:id="158"/>
      <w:r/>
      <w:bookmarkEnd w:id="159"/>
      <w:r/>
      <w:r/>
    </w:p>
    <w:p>
      <w:pPr>
        <w:ind w:firstLine="420"/>
        <w:spacing w:line="276" w:lineRule="auto"/>
        <w:rPr>
          <w:rFonts w:ascii="宋体" w:hAnsi="宋体" w:eastAsia="宋体" w:cs="仿宋_GB2312"/>
          <w:sz w:val="21"/>
          <w:szCs w:val="21"/>
        </w:rPr>
      </w:pPr>
      <w:r>
        <w:rPr>
          <w:rFonts w:hint="eastAsia" w:ascii="宋体" w:hAnsi="宋体" w:eastAsia="宋体" w:cs="仿宋_GB2312"/>
          <w:sz w:val="21"/>
          <w:szCs w:val="21"/>
        </w:rPr>
        <w:t xml:space="preserve">户名：【】</w:t>
      </w:r>
      <w:r/>
    </w:p>
    <w:p>
      <w:pPr>
        <w:ind w:firstLine="420"/>
        <w:spacing w:line="276" w:lineRule="auto"/>
        <w:rPr>
          <w:rFonts w:ascii="宋体" w:hAnsi="宋体" w:eastAsia="宋体" w:cs="仿宋_GB2312"/>
          <w:sz w:val="21"/>
          <w:szCs w:val="21"/>
        </w:rPr>
      </w:pPr>
      <w:r>
        <w:rPr>
          <w:rFonts w:hint="eastAsia" w:ascii="宋体" w:hAnsi="宋体" w:eastAsia="宋体" w:cs="仿宋_GB2312"/>
          <w:sz w:val="21"/>
          <w:szCs w:val="21"/>
        </w:rPr>
        <w:t xml:space="preserve">账号：【】</w:t>
      </w:r>
      <w:r/>
    </w:p>
    <w:p>
      <w:pPr>
        <w:ind w:firstLine="420"/>
        <w:spacing w:line="276" w:lineRule="auto"/>
        <w:rPr>
          <w:rFonts w:ascii="宋体" w:hAnsi="宋体" w:eastAsia="宋体" w:cs="仿宋_GB2312"/>
          <w:sz w:val="21"/>
          <w:szCs w:val="21"/>
        </w:rPr>
      </w:pPr>
      <w:r>
        <w:rPr>
          <w:rFonts w:hint="eastAsia" w:ascii="宋体" w:hAnsi="宋体" w:eastAsia="宋体" w:cs="仿宋_GB2312"/>
          <w:sz w:val="21"/>
          <w:szCs w:val="21"/>
        </w:rPr>
        <w:t xml:space="preserve">纳税人识别号/统一社会信用代码：【】</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户名：</w:t>
      </w:r>
      <w:r>
        <w:rPr>
          <w:rFonts w:hint="eastAsia" w:ascii="宋体" w:hAnsi="宋体" w:eastAsia="宋体" w:cs="仿宋_GB2312"/>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数字人民币账号：</w:t>
      </w:r>
      <w:r>
        <w:rPr>
          <w:rFonts w:hint="eastAsia" w:ascii="宋体" w:hAnsi="宋体" w:eastAsia="宋体" w:cs="仿宋_GB2312"/>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数字钱包开户行：</w:t>
      </w:r>
      <w:r>
        <w:rPr>
          <w:rFonts w:hint="eastAsia" w:ascii="宋体" w:hAnsi="宋体" w:eastAsia="宋体" w:cs="仿宋_GB2312"/>
          <w:sz w:val="21"/>
          <w:szCs w:val="21"/>
        </w:rPr>
        <w:t xml:space="preserve">【】</w:t>
      </w:r>
      <w:r/>
    </w:p>
    <w:p>
      <w:pPr>
        <w:pStyle w:val="990"/>
        <w:ind w:firstLine="422"/>
        <w:spacing w:line="276" w:lineRule="auto"/>
        <w:rPr>
          <w:rFonts w:ascii="宋体" w:hAnsi="宋体"/>
          <w:b/>
          <w:szCs w:val="21"/>
        </w:rPr>
      </w:pPr>
      <w:r>
        <w:rPr>
          <w:rFonts w:hint="eastAsia" w:ascii="宋体" w:hAnsi="宋体"/>
          <w:b/>
          <w:szCs w:val="21"/>
        </w:rPr>
        <w:t xml:space="preserve">五、甲乙双方权利、义务：</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1.甲方责任：</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1.1依本合同约定按期支付合同款项；</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1.2依本合同约定及时组织验收；</w:t>
      </w:r>
      <w:r/>
    </w:p>
    <w:p>
      <w:pPr>
        <w:ind w:firstLine="420"/>
        <w:spacing w:line="273" w:lineRule="auto"/>
        <w:rPr>
          <w:rFonts w:ascii="宋体" w:hAnsi="宋体" w:eastAsia="宋体"/>
          <w:color w:val="000000"/>
          <w:sz w:val="21"/>
          <w:szCs w:val="21"/>
        </w:rPr>
      </w:pPr>
      <w:r>
        <w:rPr>
          <w:rFonts w:hint="eastAsia" w:ascii="宋体" w:hAnsi="宋体" w:eastAsia="宋体"/>
          <w:color w:val="000000"/>
          <w:sz w:val="21"/>
          <w:szCs w:val="21"/>
        </w:rPr>
        <w:t xml:space="preserve">1.3协助乙方进行项目的相关协调工作及约定期限内提供相关资料以利于开展项目。</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2.乙方责任：</w:t>
      </w:r>
      <w:r/>
    </w:p>
    <w:p>
      <w:pPr>
        <w:ind w:firstLine="420"/>
        <w:spacing w:line="273" w:lineRule="auto"/>
        <w:rPr>
          <w:rFonts w:ascii="宋体" w:hAnsi="宋体" w:eastAsia="宋体"/>
          <w:sz w:val="21"/>
          <w:szCs w:val="21"/>
        </w:rPr>
      </w:pPr>
      <w:r>
        <w:rPr>
          <w:rFonts w:hint="eastAsia" w:ascii="宋体" w:hAnsi="宋体" w:eastAsia="宋体"/>
          <w:sz w:val="21"/>
          <w:szCs w:val="21"/>
        </w:rPr>
        <w:t xml:space="preserve">乙方负责完成本次采购要求的全部服务工作，乙方应按磋商文件以及合同约定的技术规范、标准进行实施，并保证按期、保质保量完成项目的实施工作，对提交的项目质量负责。</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六、违约责任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1、甲方违约责任：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1.1在合同生效后，甲方无故要求解除合同的，应向乙方偿付合同总价款5%的违约金，违约金不足以补偿损失的，乙方有权要求甲方补足。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1.2甲方逾期付款的应按照逾期付款金额的每天万分之四支付逾期付款违约金，总额不超总价款的5%。</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2、乙方的违约责任：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2.1在合同生效后，乙方无故要求解除合同的，应向甲方偿付合同总价款5%的违约金，违约金不足以补偿损失的，甲方有权要求乙方补足。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2.3乙方须自己完成合同内容，不得自行分包，否则，甲方有权按乙方不能完成合同处理。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2.4乙方应执行国家有关规定（如当年度苏州市最低工资标准和其他规定），负责乙方员工的生病、事故、伤残、死亡和劳务纠纷，甲方不承担任何相关责任。</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2.5乙方负有对自己员工的安全责任，甲方不承担任何相关责任。</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七、不可抗力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八、争端的解决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2、如果调解不成，双方中的任何一方可向人民法院提起诉讼。诉讼由合同签订地人民法院管辖。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3、诉讼费由败诉方负担。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4、因合同部分履行引发诉讼的，在诉讼期间，除正在进行诉讼的部分外，本合同的其它部分应继续执行。</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九、违约终止合同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1、在甲方因乙方违约而按合同约定采取的任何补救措施不受影响的情况下，甲方可在下列情况下向乙方发出书面通知，提出终止部分或全部合同。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1.1如果乙方未能在合同规定的限期或甲方同意延长的限期内提供部分或全部服务。</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1.2如果乙方未能履行合同规定的其它任何义务。</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应商之间串通，人为地使采购活动丧失竞争性，损害甲方所能获得的权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3、如果甲方违约，应承担相应的违约责任。</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十、破产终止合同：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十一、政府采购法对政府采购合同变更终止的规定：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right="-153" w:firstLine="420"/>
        <w:spacing w:line="276" w:lineRule="auto"/>
        <w:rPr>
          <w:rFonts w:ascii="宋体" w:hAnsi="宋体" w:eastAsia="宋体"/>
          <w:sz w:val="21"/>
          <w:szCs w:val="21"/>
        </w:rPr>
      </w:pPr>
      <w:r>
        <w:rPr>
          <w:rFonts w:hint="eastAsia" w:ascii="宋体" w:hAnsi="宋体" w:eastAsia="宋体"/>
          <w:sz w:val="21"/>
          <w:szCs w:val="21"/>
        </w:rPr>
        <w:t xml:space="preserve">2、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10%。</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十二、合同转让和分包：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本项目不得转让和分包。</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十三、需要补充的合同条款：</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（根据评审过程中或者商务谈判时商定的条款和条件在订立合同时标明）。</w:t>
      </w:r>
      <w:r/>
    </w:p>
    <w:p>
      <w:pPr>
        <w:ind w:firstLine="420"/>
        <w:spacing w:line="276" w:lineRule="auto"/>
        <w:rPr>
          <w:rFonts w:ascii="宋体" w:hAnsi="宋体" w:eastAsia="宋体"/>
          <w:b/>
          <w:sz w:val="21"/>
          <w:szCs w:val="21"/>
        </w:rPr>
      </w:pPr>
      <w:r>
        <w:rPr>
          <w:rFonts w:hint="eastAsia" w:ascii="宋体" w:hAnsi="宋体" w:eastAsia="宋体"/>
          <w:b/>
          <w:sz w:val="21"/>
          <w:szCs w:val="21"/>
        </w:rPr>
        <w:t xml:space="preserve">十四、合同生效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1、双方签约人为各自法定代表人或被授权代表。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2、本合同系指本文件及其附件中的所有部分，磋商文件、乙方的响应文件、成交通知书、乙方在采购过程中的澄清和承诺等为本合同不可缺少的组成部分。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3、本合同自甲乙双方签字盖章之日起生效。</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4、本合同壹式</w:t>
      </w:r>
      <w:r>
        <w:rPr>
          <w:rFonts w:hint="eastAsia" w:ascii="宋体" w:hAnsi="宋体" w:eastAsia="宋体"/>
          <w:sz w:val="21"/>
          <w:szCs w:val="21"/>
          <w:u w:val="single"/>
        </w:rPr>
        <w:t xml:space="preserve"> 陆 </w:t>
      </w:r>
      <w:r>
        <w:rPr>
          <w:rFonts w:hint="eastAsia" w:ascii="宋体" w:hAnsi="宋体" w:eastAsia="宋体"/>
          <w:sz w:val="21"/>
          <w:szCs w:val="21"/>
        </w:rPr>
        <w:t xml:space="preserve">份，甲乙双方各执</w:t>
      </w:r>
      <w:r>
        <w:rPr>
          <w:rFonts w:hint="eastAsia" w:ascii="宋体" w:hAnsi="宋体" w:eastAsia="宋体"/>
          <w:sz w:val="21"/>
          <w:szCs w:val="21"/>
          <w:u w:val="single"/>
        </w:rPr>
        <w:t xml:space="preserve"> 贰 </w:t>
      </w:r>
      <w:r>
        <w:rPr>
          <w:rFonts w:hint="eastAsia" w:ascii="宋体" w:hAnsi="宋体" w:eastAsia="宋体"/>
          <w:sz w:val="21"/>
          <w:szCs w:val="21"/>
        </w:rPr>
        <w:t xml:space="preserve">份，采购代理机构</w:t>
      </w:r>
      <w:r>
        <w:rPr>
          <w:rFonts w:hint="eastAsia" w:ascii="宋体" w:hAnsi="宋体" w:eastAsia="宋体"/>
          <w:sz w:val="21"/>
          <w:szCs w:val="21"/>
          <w:u w:val="single"/>
        </w:rPr>
        <w:t xml:space="preserve"> 壹 </w:t>
      </w:r>
      <w:r>
        <w:rPr>
          <w:rFonts w:hint="eastAsia" w:ascii="宋体" w:hAnsi="宋体" w:eastAsia="宋体"/>
          <w:sz w:val="21"/>
          <w:szCs w:val="21"/>
        </w:rPr>
        <w:t xml:space="preserve">份，政府采购管理部门</w:t>
      </w:r>
      <w:r>
        <w:rPr>
          <w:rFonts w:hint="eastAsia" w:ascii="宋体" w:hAnsi="宋体" w:eastAsia="宋体"/>
          <w:sz w:val="21"/>
          <w:szCs w:val="21"/>
          <w:u w:val="single"/>
        </w:rPr>
        <w:t xml:space="preserve"> 壹 </w:t>
      </w:r>
      <w:r>
        <w:rPr>
          <w:rFonts w:hint="eastAsia" w:ascii="宋体" w:hAnsi="宋体" w:eastAsia="宋体"/>
          <w:sz w:val="21"/>
          <w:szCs w:val="21"/>
        </w:rPr>
        <w:t xml:space="preserve">份，各份具有同等法律效力。</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5、本合同应按照中华人民共和国的现行法律进行解释。</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6、合同修改：除甲乙双方签署书面修改、补充协议，并成为本合同不可分割的一部分之外，本合同条件不得有任何变化或修改。</w:t>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21"/>
        <w:gridCol w:w="4941"/>
      </w:tblGrid>
      <w:tr>
        <w:trPr>
          <w:trHeight w:val="22"/>
        </w:trPr>
        <w:tc>
          <w:tcPr>
            <w:tcBorders>
              <w:top w:val="none" w:color="000000" w:sz="4" w:space="0"/>
              <w:left w:val="none" w:color="000000" w:sz="4" w:space="0"/>
              <w:bottom w:val="none" w:color="000000" w:sz="4" w:space="0"/>
              <w:right w:val="none" w:color="000000" w:sz="4" w:space="0"/>
            </w:tcBorders>
            <w:tcW w:w="252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甲方（盖章）：</w:t>
            </w:r>
            <w:r/>
          </w:p>
        </w:tc>
        <w:tc>
          <w:tcPr>
            <w:tcBorders>
              <w:top w:val="none" w:color="000000" w:sz="4" w:space="0"/>
              <w:left w:val="none" w:color="000000" w:sz="4" w:space="0"/>
              <w:bottom w:val="none" w:color="000000" w:sz="4" w:space="0"/>
              <w:right w:val="none" w:color="000000" w:sz="4" w:space="0"/>
            </w:tcBorders>
            <w:tcW w:w="248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乙方（盖章）：</w:t>
            </w:r>
            <w:r/>
          </w:p>
        </w:tc>
      </w:tr>
      <w:tr>
        <w:trPr>
          <w:trHeight w:val="22"/>
        </w:trPr>
        <w:tc>
          <w:tcPr>
            <w:tcBorders>
              <w:top w:val="none" w:color="000000" w:sz="4" w:space="0"/>
              <w:left w:val="none" w:color="000000" w:sz="4" w:space="0"/>
              <w:bottom w:val="none" w:color="000000" w:sz="4" w:space="0"/>
              <w:right w:val="none" w:color="000000" w:sz="4" w:space="0"/>
            </w:tcBorders>
            <w:tcW w:w="252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法定（授权）代表人（签字）：</w:t>
            </w:r>
            <w:r/>
          </w:p>
        </w:tc>
        <w:tc>
          <w:tcPr>
            <w:tcBorders>
              <w:top w:val="none" w:color="000000" w:sz="4" w:space="0"/>
              <w:left w:val="none" w:color="000000" w:sz="4" w:space="0"/>
              <w:bottom w:val="none" w:color="000000" w:sz="4" w:space="0"/>
              <w:right w:val="none" w:color="000000" w:sz="4" w:space="0"/>
            </w:tcBorders>
            <w:tcW w:w="248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法定（授权）代表人（签字）：</w:t>
            </w:r>
            <w:r/>
          </w:p>
        </w:tc>
      </w:tr>
      <w:tr>
        <w:trPr>
          <w:trHeight w:val="22"/>
        </w:trPr>
        <w:tc>
          <w:tcPr>
            <w:tcBorders>
              <w:top w:val="none" w:color="000000" w:sz="4" w:space="0"/>
              <w:left w:val="none" w:color="000000" w:sz="4" w:space="0"/>
              <w:bottom w:val="none" w:color="000000" w:sz="4" w:space="0"/>
              <w:right w:val="none" w:color="000000" w:sz="4" w:space="0"/>
            </w:tcBorders>
            <w:tcW w:w="252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签订日期：</w:t>
            </w:r>
            <w:r/>
          </w:p>
        </w:tc>
        <w:tc>
          <w:tcPr>
            <w:tcBorders>
              <w:top w:val="none" w:color="000000" w:sz="4" w:space="0"/>
              <w:left w:val="none" w:color="000000" w:sz="4" w:space="0"/>
              <w:bottom w:val="none" w:color="000000" w:sz="4" w:space="0"/>
              <w:right w:val="none" w:color="000000" w:sz="4" w:space="0"/>
            </w:tcBorders>
            <w:tcW w:w="2480" w:type="pct"/>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签订日期：</w:t>
            </w:r>
            <w:r/>
          </w:p>
        </w:tc>
      </w:tr>
    </w:tbl>
    <w:p>
      <w:r/>
      <w:bookmarkEnd w:id="152"/>
      <w:r/>
      <w:r/>
    </w:p>
    <w:p>
      <w:r/>
      <w:bookmarkStart w:id="160" w:name="_Toc73208695"/>
      <w:r/>
      <w:bookmarkStart w:id="161" w:name="_Toc73209039"/>
      <w:r/>
      <w:bookmarkStart w:id="162" w:name="_Toc73209110"/>
      <w:r/>
      <w:bookmarkStart w:id="163" w:name="_Toc73208478"/>
      <w:r/>
      <w:bookmarkStart w:id="164" w:name="_Toc73208788"/>
      <w:r/>
      <w:bookmarkStart w:id="165" w:name="_Toc505621542"/>
      <w:r/>
      <w:bookmarkStart w:id="166" w:name="_Toc490593769"/>
      <w:r>
        <w:br w:type="column"/>
      </w:r>
      <w:r/>
    </w:p>
    <w:p>
      <w:pPr>
        <w:pStyle w:val="869"/>
        <w:jc w:val="center"/>
        <w:spacing w:before="0" w:after="0" w:line="276" w:lineRule="auto"/>
        <w:tabs>
          <w:tab w:val="left" w:pos="3570" w:leader="none"/>
        </w:tabs>
        <w:rPr>
          <w:rFonts w:asciiTheme="minorEastAsia" w:hAnsiTheme="minorEastAsia" w:eastAsiaTheme="minorEastAsia"/>
          <w:bCs/>
          <w:sz w:val="28"/>
          <w:szCs w:val="28"/>
        </w:rPr>
      </w:pPr>
      <w:r>
        <w:rPr>
          <w:rFonts w:hint="eastAsia" w:asciiTheme="minorEastAsia" w:hAnsiTheme="minorEastAsia" w:eastAsiaTheme="minorEastAsia"/>
          <w:bCs/>
          <w:sz w:val="28"/>
          <w:szCs w:val="28"/>
        </w:rPr>
        <w:t xml:space="preserve">第五章</w:t>
      </w:r>
      <w:r>
        <w:rPr>
          <w:rFonts w:asciiTheme="minorEastAsia" w:hAnsiTheme="minorEastAsia" w:eastAsiaTheme="minorEastAsia"/>
          <w:bCs/>
          <w:sz w:val="28"/>
          <w:szCs w:val="28"/>
        </w:rPr>
        <w:t xml:space="preserve"> </w:t>
      </w:r>
      <w:r>
        <w:rPr>
          <w:rFonts w:hint="eastAsia" w:asciiTheme="minorEastAsia" w:hAnsiTheme="minorEastAsia" w:eastAsiaTheme="minorEastAsia"/>
          <w:bCs/>
          <w:sz w:val="28"/>
          <w:szCs w:val="28"/>
        </w:rPr>
        <w:t xml:space="preserve">评审办法及评分标准</w:t>
      </w:r>
      <w:bookmarkEnd w:id="160"/>
      <w:r/>
      <w:bookmarkEnd w:id="161"/>
      <w:r/>
      <w:bookmarkEnd w:id="162"/>
      <w:r/>
      <w:bookmarkEnd w:id="163"/>
      <w:r/>
      <w:bookmarkEnd w:id="164"/>
      <w:r/>
      <w:bookmarkEnd w:id="165"/>
      <w:r/>
      <w:bookmarkEnd w:id="166"/>
      <w:r/>
      <w:r/>
    </w:p>
    <w:p>
      <w:p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一、评审办法</w:t>
      </w:r>
      <w:r/>
    </w:p>
    <w:p>
      <w:pPr>
        <w:ind w:firstLine="420"/>
        <w:spacing w:line="276" w:lineRule="auto"/>
        <w:rPr>
          <w:rFonts w:asciiTheme="minorEastAsia" w:hAnsiTheme="minorEastAsia" w:eastAsiaTheme="minorEastAsia"/>
          <w:sz w:val="21"/>
          <w:szCs w:val="21"/>
        </w:rPr>
      </w:pPr>
      <w:r/>
      <w:bookmarkStart w:id="167" w:name="_Toc475522906"/>
      <w:r>
        <w:rPr>
          <w:rFonts w:hint="eastAsia" w:asciiTheme="minorEastAsia" w:hAnsiTheme="minorEastAsia" w:eastAsiaTheme="minorEastAsia"/>
          <w:sz w:val="21"/>
          <w:szCs w:val="21"/>
        </w:rPr>
        <w:t xml:space="preserve">1、本次磋商采用</w:t>
      </w:r>
      <w:r>
        <w:rPr>
          <w:rFonts w:hint="eastAsia" w:asciiTheme="minorEastAsia" w:hAnsiTheme="minorEastAsia" w:eastAsiaTheme="minorEastAsia"/>
          <w:sz w:val="21"/>
          <w:szCs w:val="21"/>
          <w:u w:val="single"/>
        </w:rPr>
        <w:t xml:space="preserve">综合评分法</w:t>
      </w:r>
      <w:r>
        <w:rPr>
          <w:rFonts w:hint="eastAsia" w:asciiTheme="minorEastAsia" w:hAnsiTheme="minorEastAsia" w:eastAsiaTheme="minorEastAsia"/>
          <w:sz w:val="21"/>
          <w:szCs w:val="21"/>
        </w:rPr>
        <w:t xml:space="preserve">，经磋商确定最终采购需求和提交最后报价的供应商后，由磋商小组采用综合评分法对提交最后报价的供应商的响应文件和最后报价进行综合评分，在</w:t>
      </w:r>
      <w:r>
        <w:rPr>
          <w:rFonts w:asciiTheme="minorEastAsia" w:hAnsiTheme="minorEastAsia" w:eastAsiaTheme="minorEastAsia"/>
          <w:sz w:val="21"/>
          <w:szCs w:val="21"/>
        </w:rPr>
        <w:t xml:space="preserve">响应文件满足</w:t>
      </w:r>
      <w:r>
        <w:rPr>
          <w:rFonts w:hint="eastAsia" w:asciiTheme="minorEastAsia" w:hAnsiTheme="minorEastAsia" w:eastAsiaTheme="minorEastAsia"/>
          <w:sz w:val="21"/>
          <w:szCs w:val="21"/>
        </w:rPr>
        <w:t xml:space="preserve">磋商文件</w:t>
      </w:r>
      <w:r>
        <w:rPr>
          <w:rFonts w:asciiTheme="minorEastAsia" w:hAnsiTheme="minorEastAsia" w:eastAsiaTheme="minorEastAsia"/>
          <w:sz w:val="21"/>
          <w:szCs w:val="21"/>
        </w:rPr>
        <w:t xml:space="preserve">全部实质性要求且按评审因素的量化指标评审得分最高的供应商为成交候选供应商</w:t>
      </w:r>
      <w:r>
        <w:rPr>
          <w:rFonts w:hint="eastAsia" w:asciiTheme="minorEastAsia" w:hAnsiTheme="minorEastAsia" w:eastAsiaTheme="minorEastAsia"/>
          <w:sz w:val="21"/>
          <w:szCs w:val="21"/>
        </w:rPr>
        <w:t xml:space="preserve">。</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2、综合评分的主要因素为：响应</w:t>
      </w:r>
      <w:r>
        <w:rPr>
          <w:rFonts w:asciiTheme="minorEastAsia" w:hAnsiTheme="minorEastAsia" w:eastAsiaTheme="minorEastAsia"/>
          <w:sz w:val="21"/>
          <w:szCs w:val="21"/>
        </w:rPr>
        <w:t xml:space="preserve">报价、技术或者服务水平、履约能力、售后服务</w:t>
      </w:r>
      <w:r>
        <w:rPr>
          <w:rFonts w:hint="eastAsia" w:asciiTheme="minorEastAsia" w:hAnsiTheme="minorEastAsia" w:eastAsiaTheme="minorEastAsia"/>
          <w:sz w:val="21"/>
          <w:szCs w:val="21"/>
        </w:rPr>
        <w:t xml:space="preserve">等对磋商文件的响应程度，以及相应的比重或者数值等。总分值100分，价格部分分值占总分值的比重为</w:t>
      </w:r>
      <w:r>
        <w:rPr>
          <w:rFonts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%（权重），技术商务部分分值占总分值的比重为</w:t>
      </w:r>
      <w:r>
        <w:rPr>
          <w:rFonts w:asciiTheme="minorEastAsia" w:hAnsiTheme="minorEastAsia" w:eastAsiaTheme="minorEastAsia"/>
          <w:sz w:val="21"/>
          <w:szCs w:val="21"/>
        </w:rPr>
        <w:t xml:space="preserve">90</w:t>
      </w:r>
      <w:r>
        <w:rPr>
          <w:rFonts w:hint="eastAsia" w:asciiTheme="minorEastAsia" w:hAnsiTheme="minorEastAsia" w:eastAsiaTheme="minorEastAsia"/>
          <w:sz w:val="21"/>
          <w:szCs w:val="21"/>
        </w:rPr>
        <w:t xml:space="preserve">%（权重）。</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磋商小组各成员独立对每个进入打分程序的有效供应商的响应文件技术和资质部分以打分的形式进行评审和评价，对磋商小组的评分（除价格分外）进行统计汇总，直接算术平均计算出每个供应商的得分，加上价格得分即为每个供应商的综合得分。</w:t>
      </w:r>
      <w:r/>
    </w:p>
    <w:p>
      <w:pPr>
        <w:ind w:firstLine="420"/>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、如出现评审总得分最高的供应商有两个或两个以上的，以磋商报价较低者优先作为成交候选供应商，如果磋商报价得分也相同的，则由采购人或采购代理机构组织以抽签方式确定成交候选供应商。</w:t>
      </w:r>
      <w:r/>
    </w:p>
    <w:p>
      <w:pPr>
        <w:spacing w:line="276" w:lineRule="auto"/>
        <w:rPr>
          <w:rFonts w:asciiTheme="minorEastAsia" w:hAnsiTheme="minorEastAsia" w:eastAsiaTheme="minorEastAsia"/>
          <w:b/>
          <w:sz w:val="21"/>
          <w:szCs w:val="21"/>
        </w:rPr>
        <w:outlineLvl w:val="1"/>
      </w:pPr>
      <w:r>
        <w:rPr>
          <w:rFonts w:hint="eastAsia" w:asciiTheme="minorEastAsia" w:hAnsiTheme="minorEastAsia" w:eastAsiaTheme="minorEastAsia"/>
          <w:b/>
          <w:sz w:val="21"/>
          <w:szCs w:val="21"/>
        </w:rPr>
        <w:t xml:space="preserve">二、</w:t>
      </w:r>
      <w:r>
        <w:rPr>
          <w:rFonts w:asciiTheme="minorEastAsia" w:hAnsiTheme="minorEastAsia" w:eastAsiaTheme="minorEastAsia"/>
          <w:b/>
          <w:sz w:val="21"/>
          <w:szCs w:val="21"/>
        </w:rPr>
        <w:t xml:space="preserve">评</w:t>
      </w:r>
      <w:r>
        <w:rPr>
          <w:rFonts w:hint="eastAsia" w:asciiTheme="minorEastAsia" w:hAnsiTheme="minorEastAsia" w:eastAsiaTheme="minorEastAsia"/>
          <w:b/>
          <w:sz w:val="21"/>
          <w:szCs w:val="21"/>
        </w:rPr>
        <w:t xml:space="preserve">分标准</w:t>
      </w:r>
      <w:r/>
    </w:p>
    <w:p>
      <w:pPr>
        <w:numPr>
          <w:ilvl w:val="0"/>
          <w:numId w:val="8"/>
        </w:numPr>
        <w:jc w:val="left"/>
        <w:spacing w:line="276" w:lineRule="auto"/>
        <w:tabs>
          <w:tab w:val="left" w:pos="709"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初步评审表</w:t>
      </w:r>
      <w:r/>
    </w:p>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、资格性</w:t>
      </w:r>
      <w:r>
        <w:rPr>
          <w:rFonts w:hint="eastAsia" w:cs="宋体" w:asciiTheme="minorEastAsia" w:hAnsiTheme="minorEastAsia" w:eastAsiaTheme="minorEastAsia"/>
          <w:b/>
          <w:sz w:val="21"/>
          <w:szCs w:val="21"/>
        </w:rPr>
        <w:t xml:space="preserve">审</w:t>
      </w:r>
      <w:r>
        <w:rPr>
          <w:rFonts w:cs="宋体" w:asciiTheme="minorEastAsia" w:hAnsiTheme="minorEastAsia" w:eastAsiaTheme="minorEastAsia"/>
          <w:b/>
          <w:sz w:val="21"/>
          <w:szCs w:val="21"/>
        </w:rPr>
        <w:t xml:space="preserve">查</w:t>
      </w:r>
      <w:r/>
    </w:p>
    <w:tbl>
      <w:tblPr>
        <w:tblStyle w:val="8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98"/>
        <w:gridCol w:w="5802"/>
        <w:gridCol w:w="1160"/>
        <w:gridCol w:w="685"/>
      </w:tblGrid>
      <w:tr>
        <w:trPr>
          <w:trHeight w:val="20"/>
        </w:trPr>
        <w:tc>
          <w:tcPr>
            <w:tcW w:w="360" w:type="pct"/>
            <w:vAlign w:val="center"/>
            <w:textDirection w:val="lrTb"/>
            <w:noWrap w:val="false"/>
          </w:tcPr>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序号</w:t>
            </w:r>
            <w:r/>
          </w:p>
        </w:tc>
        <w:tc>
          <w:tcPr>
            <w:tcW w:w="80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评审因素</w:t>
            </w:r>
            <w:r/>
          </w:p>
        </w:tc>
        <w:tc>
          <w:tcPr>
            <w:tcW w:w="291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评审标准</w:t>
            </w:r>
            <w:r/>
          </w:p>
        </w:tc>
        <w:tc>
          <w:tcPr>
            <w:tcW w:w="58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是否合格(是/</w:t>
            </w:r>
            <w:r>
              <w:rPr>
                <w:rFonts w:hint="eastAsia" w:asciiTheme="minorEastAsia" w:hAnsiTheme="minorEastAsia" w:eastAsiaTheme="minorEastAsia"/>
                <w:b/>
                <w:sz w:val="21"/>
                <w:szCs w:val="21"/>
              </w:rPr>
              <w:t xml:space="preserve">否</w:t>
            </w:r>
            <w:r>
              <w:rPr>
                <w:rFonts w:asciiTheme="minorEastAsia" w:hAnsiTheme="minorEastAsia" w:eastAsiaTheme="minorEastAsia"/>
                <w:b/>
                <w:sz w:val="21"/>
                <w:szCs w:val="21"/>
              </w:rPr>
              <w:t xml:space="preserve">)</w:t>
            </w:r>
            <w:r/>
          </w:p>
        </w:tc>
        <w:tc>
          <w:tcPr>
            <w:tcW w:w="344" w:type="pct"/>
            <w:vAlign w:val="center"/>
            <w:textDirection w:val="lrTb"/>
            <w:noWrap w:val="false"/>
          </w:tcPr>
          <w:p>
            <w:pPr>
              <w:jc w:val="left"/>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tc>
      </w:tr>
      <w:tr>
        <w:trPr>
          <w:trHeight w:val="20"/>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.1</w:t>
            </w:r>
            <w:r/>
          </w:p>
        </w:tc>
        <w:tc>
          <w:tcPr>
            <w:tcW w:w="802"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供应商一般条件</w:t>
            </w:r>
            <w:r/>
          </w:p>
        </w:tc>
        <w:tc>
          <w:tcPr>
            <w:tcW w:w="2912" w:type="pct"/>
            <w:vAlign w:val="center"/>
            <w:textDirection w:val="lrTb"/>
            <w:noWrap w:val="false"/>
          </w:tcPr>
          <w:p>
            <w:pPr>
              <w:spacing w:line="276"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符合《中华人民共和国政府采购法》第二十二条第一款规定</w:t>
            </w:r>
            <w:r/>
          </w:p>
        </w:tc>
        <w:tc>
          <w:tcPr>
            <w:tcW w:w="582"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r>
        <w:trPr>
          <w:trHeight w:val="20"/>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1.2</w:t>
            </w:r>
            <w:r/>
          </w:p>
        </w:tc>
        <w:tc>
          <w:tcPr>
            <w:tcW w:w="802"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不得存在的情形</w:t>
            </w:r>
            <w:r/>
          </w:p>
        </w:tc>
        <w:tc>
          <w:tcPr>
            <w:tcW w:w="2912" w:type="pct"/>
            <w:vAlign w:val="center"/>
            <w:textDirection w:val="lrTb"/>
            <w:noWrap w:val="false"/>
          </w:tcPr>
          <w:p>
            <w:pPr>
              <w:spacing w:line="276" w:lineRule="auto"/>
              <w:tabs>
                <w:tab w:val="left" w:pos="147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单位负责人为同一人或者存在直接控股、管理关系的不同供应商，不得参加同一合同项下的政府采购活动。</w:t>
            </w:r>
            <w:r/>
          </w:p>
        </w:tc>
        <w:tc>
          <w:tcPr>
            <w:tcW w:w="582"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r>
        <w:trPr>
          <w:trHeight w:val="20"/>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1.3</w:t>
            </w:r>
            <w:r/>
          </w:p>
        </w:tc>
        <w:tc>
          <w:tcPr>
            <w:tcW w:w="802"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信用记录</w:t>
            </w:r>
            <w:r/>
          </w:p>
        </w:tc>
        <w:tc>
          <w:tcPr>
            <w:tcW w:w="2912" w:type="pct"/>
            <w:vAlign w:val="center"/>
            <w:textDirection w:val="lrTb"/>
            <w:noWrap w:val="false"/>
          </w:tcPr>
          <w:p>
            <w:pPr>
              <w:spacing w:line="276" w:lineRule="auto"/>
              <w:tabs>
                <w:tab w:val="left" w:pos="147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供应商信用记录是否符合政府采购相关法律法规规定</w:t>
            </w:r>
            <w:r/>
          </w:p>
        </w:tc>
        <w:tc>
          <w:tcPr>
            <w:tcW w:w="582"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r>
            <w:r/>
          </w:p>
        </w:tc>
      </w:tr>
    </w:tbl>
    <w:p>
      <w:pPr>
        <w:jc w:val="lef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、符合性</w:t>
      </w:r>
      <w:r>
        <w:rPr>
          <w:rFonts w:hint="eastAsia" w:cs="宋体" w:asciiTheme="minorEastAsia" w:hAnsiTheme="minorEastAsia" w:eastAsiaTheme="minorEastAsia"/>
          <w:b/>
          <w:sz w:val="21"/>
          <w:szCs w:val="21"/>
        </w:rPr>
        <w:t xml:space="preserve">审</w:t>
      </w:r>
      <w:r>
        <w:rPr>
          <w:rFonts w:cs="宋体" w:asciiTheme="minorEastAsia" w:hAnsiTheme="minorEastAsia" w:eastAsiaTheme="minorEastAsia"/>
          <w:b/>
          <w:sz w:val="21"/>
          <w:szCs w:val="21"/>
        </w:rPr>
        <w:t xml:space="preserve">查</w:t>
      </w:r>
      <w:r/>
    </w:p>
    <w:tbl>
      <w:tblPr>
        <w:tblStyle w:val="8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98"/>
        <w:gridCol w:w="5802"/>
        <w:gridCol w:w="1160"/>
        <w:gridCol w:w="685"/>
      </w:tblGrid>
      <w:tr>
        <w:trPr/>
        <w:tc>
          <w:tcPr>
            <w:tcW w:w="360" w:type="pct"/>
            <w:vAlign w:val="center"/>
            <w:textDirection w:val="lrTb"/>
            <w:noWrap w:val="false"/>
          </w:tcPr>
          <w:p>
            <w:pPr>
              <w:jc w:val="left"/>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序号</w:t>
            </w:r>
            <w:r/>
          </w:p>
        </w:tc>
        <w:tc>
          <w:tcPr>
            <w:tcW w:w="80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评审因素</w:t>
            </w:r>
            <w:r/>
          </w:p>
        </w:tc>
        <w:tc>
          <w:tcPr>
            <w:tcW w:w="291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评审标准</w:t>
            </w:r>
            <w:r/>
          </w:p>
        </w:tc>
        <w:tc>
          <w:tcPr>
            <w:tcW w:w="582"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是否合格(是/</w:t>
            </w:r>
            <w:r>
              <w:rPr>
                <w:rFonts w:hint="eastAsia" w:asciiTheme="minorEastAsia" w:hAnsiTheme="minorEastAsia" w:eastAsiaTheme="minorEastAsia"/>
                <w:b/>
                <w:sz w:val="21"/>
                <w:szCs w:val="21"/>
              </w:rPr>
              <w:t xml:space="preserve">否</w:t>
            </w:r>
            <w:r>
              <w:rPr>
                <w:rFonts w:asciiTheme="minorEastAsia" w:hAnsiTheme="minorEastAsia" w:eastAsiaTheme="minorEastAsia"/>
                <w:b/>
                <w:sz w:val="21"/>
                <w:szCs w:val="21"/>
              </w:rPr>
              <w:t xml:space="preserve">)</w:t>
            </w:r>
            <w:r/>
          </w:p>
        </w:tc>
        <w:tc>
          <w:tcPr>
            <w:tcW w:w="344" w:type="pct"/>
            <w:vAlign w:val="center"/>
            <w:textDirection w:val="lrTb"/>
            <w:noWrap w:val="false"/>
          </w:tcPr>
          <w:p>
            <w:pPr>
              <w:jc w:val="left"/>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tc>
      </w:tr>
      <w:tr>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p>
        </w:tc>
        <w:tc>
          <w:tcPr>
            <w:tcW w:w="802"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技术要求</w:t>
            </w:r>
            <w:r/>
          </w:p>
        </w:tc>
        <w:tc>
          <w:tcPr>
            <w:tcW w:w="291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2.2</w:t>
            </w:r>
            <w:r/>
          </w:p>
        </w:tc>
        <w:tc>
          <w:tcPr>
            <w:tcW w:w="802"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商务条款</w:t>
            </w:r>
            <w:r/>
          </w:p>
        </w:tc>
        <w:tc>
          <w:tcPr>
            <w:tcW w:w="291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以确定是否实质性响应磋商文件的要求。</w:t>
            </w:r>
            <w:r/>
          </w:p>
        </w:tc>
        <w:tc>
          <w:tcPr>
            <w:tcW w:w="58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r>
        <w:trPr/>
        <w:tc>
          <w:tcPr>
            <w:tcW w:w="36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2.3</w:t>
            </w:r>
            <w:r/>
          </w:p>
        </w:tc>
        <w:tc>
          <w:tcPr>
            <w:tcW w:w="802" w:type="pct"/>
            <w:vAlign w:val="center"/>
            <w:textDirection w:val="lrTb"/>
            <w:noWrap w:val="false"/>
          </w:tcPr>
          <w:p>
            <w:pPr>
              <w:jc w:val="left"/>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w:t>
            </w:r>
            <w:r/>
          </w:p>
        </w:tc>
        <w:tc>
          <w:tcPr>
            <w:tcW w:w="2912"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（除供应商资格条件及采购内容以外的其他涉及实质性响应磋商文件的条款内容）</w:t>
            </w:r>
            <w:r/>
          </w:p>
        </w:tc>
        <w:tc>
          <w:tcPr>
            <w:tcW w:w="582"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44"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r>
    </w:tbl>
    <w:p>
      <w:pPr>
        <w:numPr>
          <w:ilvl w:val="0"/>
          <w:numId w:val="8"/>
        </w:numPr>
        <w:jc w:val="left"/>
        <w:tabs>
          <w:tab w:val="left" w:pos="709"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评分</w:t>
      </w:r>
      <w:r>
        <w:rPr>
          <w:rFonts w:asciiTheme="minorEastAsia" w:hAnsiTheme="minorEastAsia" w:eastAsiaTheme="minorEastAsia"/>
          <w:b/>
          <w:sz w:val="21"/>
          <w:szCs w:val="21"/>
        </w:rPr>
        <w:t xml:space="preserve">表</w:t>
      </w:r>
      <w:r/>
    </w:p>
    <w:tbl>
      <w:tblPr>
        <w:tblStyle w:val="87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6"/>
        <w:gridCol w:w="725"/>
        <w:gridCol w:w="7791"/>
      </w:tblGrid>
      <w:tr>
        <w:trPr>
          <w:jc w:val="center"/>
        </w:trPr>
        <w:tc>
          <w:tcPr>
            <w:gridSpan w:val="3"/>
            <w:tcW w:w="5000" w:type="pct"/>
            <w:vAlign w:val="center"/>
            <w:textDirection w:val="lrTb"/>
            <w:noWrap w:val="false"/>
          </w:tcPr>
          <w:p>
            <w:pPr>
              <w:jc w:val="center"/>
              <w:spacing w:line="276" w:lineRule="auto"/>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第一部分 价格部分评分标准（1</w:t>
            </w:r>
            <w:r>
              <w:rPr>
                <w:rFonts w:cs="宋体" w:asciiTheme="minorEastAsia" w:hAnsiTheme="minorEastAsia" w:eastAsiaTheme="minorEastAsia"/>
                <w:b/>
                <w:bCs/>
                <w:sz w:val="21"/>
                <w:szCs w:val="21"/>
              </w:rPr>
              <w:t xml:space="preserve">0</w:t>
            </w:r>
            <w:r>
              <w:rPr>
                <w:rFonts w:hint="eastAsia" w:cs="宋体" w:asciiTheme="minorEastAsia" w:hAnsiTheme="minorEastAsia" w:eastAsiaTheme="minorEastAsia"/>
                <w:b/>
                <w:bCs/>
                <w:sz w:val="21"/>
                <w:szCs w:val="21"/>
              </w:rPr>
              <w:t xml:space="preserve">分</w:t>
            </w:r>
            <w:r>
              <w:rPr>
                <w:rFonts w:cs="宋体" w:asciiTheme="minorEastAsia" w:hAnsiTheme="minorEastAsia" w:eastAsiaTheme="minorEastAsia"/>
                <w:b/>
                <w:bCs/>
                <w:sz w:val="21"/>
                <w:szCs w:val="21"/>
              </w:rPr>
              <w:t xml:space="preserve">）</w:t>
            </w:r>
            <w:r/>
          </w:p>
        </w:tc>
      </w:tr>
      <w:tr>
        <w:trPr>
          <w:jc w:val="center"/>
        </w:trPr>
        <w:tc>
          <w:tcPr>
            <w:tcW w:w="726"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asciiTheme="minorEastAsia" w:hAnsiTheme="minorEastAsia" w:eastAsiaTheme="minorEastAsia"/>
                <w:b/>
                <w:sz w:val="21"/>
                <w:szCs w:val="21"/>
              </w:rPr>
              <w:t xml:space="preserve">评审因素</w:t>
            </w:r>
            <w:r/>
          </w:p>
        </w:tc>
        <w:tc>
          <w:tcPr>
            <w:tcW w:w="364"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分值</w:t>
            </w:r>
            <w:r/>
          </w:p>
        </w:tc>
        <w:tc>
          <w:tcPr>
            <w:tcW w:w="3910"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评分标准</w:t>
            </w:r>
            <w:r/>
          </w:p>
        </w:tc>
      </w:tr>
      <w:tr>
        <w:trPr>
          <w:jc w:val="center"/>
        </w:trPr>
        <w:tc>
          <w:tcPr>
            <w:tcW w:w="726" w:type="pct"/>
            <w:vAlign w:val="center"/>
            <w:textDirection w:val="lrTb"/>
            <w:noWrap w:val="false"/>
          </w:tcPr>
          <w:p>
            <w:pPr>
              <w:jc w:val="left"/>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报价部分</w:t>
            </w:r>
            <w:r/>
          </w:p>
        </w:tc>
        <w:tc>
          <w:tcPr>
            <w:tcW w:w="364" w:type="pct"/>
            <w:vAlign w:val="center"/>
            <w:textDirection w:val="lrTb"/>
            <w:noWrap w:val="false"/>
          </w:tcPr>
          <w:p>
            <w:pPr>
              <w:jc w:val="cente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0</w:t>
            </w:r>
            <w:r/>
          </w:p>
        </w:tc>
        <w:tc>
          <w:tcPr>
            <w:tcW w:w="3910"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综合评分法中的价格分统一采用低价优先法计算，即满足磋商文件要求且最后报价最低的供应商的价格为磋商基准价，其价格分为满分，即1</w:t>
            </w:r>
            <w:r>
              <w:rPr>
                <w:rFonts w:cs="宋体" w:asciiTheme="minorEastAsia" w:hAnsiTheme="minorEastAsia" w:eastAsiaTheme="minorEastAsia"/>
                <w:sz w:val="21"/>
                <w:szCs w:val="21"/>
              </w:rPr>
              <w:t xml:space="preserve">0</w:t>
            </w:r>
            <w:r>
              <w:rPr>
                <w:rFonts w:hint="eastAsia" w:cs="宋体" w:asciiTheme="minorEastAsia" w:hAnsiTheme="minorEastAsia" w:eastAsiaTheme="minorEastAsia"/>
                <w:sz w:val="21"/>
                <w:szCs w:val="21"/>
              </w:rPr>
              <w:t xml:space="preserve">分。</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其他供应商的价格分统一按照下列公式计算：</w:t>
            </w:r>
            <w:r/>
          </w:p>
          <w:p>
            <w:pPr>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磋商报价得分</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（磋商基准价</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最后磋商报价）×10%×</w:t>
            </w:r>
            <w:r>
              <w:rPr>
                <w:rFonts w:cs="宋体" w:asciiTheme="minorEastAsia" w:hAnsiTheme="minorEastAsia" w:eastAsiaTheme="minorEastAsia"/>
                <w:sz w:val="21"/>
                <w:szCs w:val="21"/>
              </w:rPr>
              <w:t xml:space="preserve">100</w:t>
            </w:r>
            <w:r/>
          </w:p>
        </w:tc>
      </w:tr>
    </w:tbl>
    <w:p>
      <w:r/>
      <w:r/>
    </w:p>
    <w:tbl>
      <w:tblPr>
        <w:tblStyle w:val="8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7"/>
        <w:gridCol w:w="1148"/>
        <w:gridCol w:w="580"/>
        <w:gridCol w:w="7647"/>
      </w:tblGrid>
      <w:tr>
        <w:trPr>
          <w:trHeight w:val="2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273" w:lineRule="auto"/>
              <w:rPr>
                <w:rFonts w:ascii="宋体" w:hAnsi="宋体" w:eastAsia="宋体"/>
                <w:b/>
                <w:sz w:val="21"/>
                <w:szCs w:val="21"/>
              </w:rPr>
            </w:pPr>
            <w:r/>
            <w:bookmarkStart w:id="168" w:name="OLE_LINK75"/>
            <w:r/>
            <w:bookmarkStart w:id="169" w:name="OLE_LINK16"/>
            <w:r/>
            <w:bookmarkStart w:id="170" w:name="OLE_LINK17"/>
            <w:r>
              <w:rPr>
                <w:rFonts w:hint="eastAsia" w:ascii="宋体" w:hAnsi="宋体" w:eastAsia="宋体"/>
                <w:b/>
                <w:sz w:val="21"/>
                <w:szCs w:val="21"/>
              </w:rPr>
              <w:t xml:space="preserve">第二部分 技术商务部分评分标准（90分）</w:t>
            </w:r>
            <w:bookmarkEnd w:id="168"/>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评审因素</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分值</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评分标准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hint="eastAsia" w:cs="宋体" w:asciiTheme="minorEastAsia" w:hAnsiTheme="minorEastAsia" w:eastAsiaTheme="minorEastAsia"/>
                <w:b/>
                <w:sz w:val="21"/>
                <w:szCs w:val="21"/>
              </w:rPr>
              <w:t xml:space="preserve">一</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rPr>
                <w:rFonts w:ascii="宋体" w:hAnsi="宋体" w:eastAsia="宋体"/>
                <w:b/>
                <w:sz w:val="21"/>
                <w:szCs w:val="21"/>
              </w:rPr>
            </w:pPr>
            <w:r>
              <w:rPr>
                <w:rFonts w:hint="eastAsia" w:cs="宋体" w:asciiTheme="minorEastAsia" w:hAnsiTheme="minorEastAsia" w:eastAsiaTheme="minorEastAsia"/>
                <w:b/>
                <w:bCs/>
                <w:sz w:val="21"/>
                <w:szCs w:val="21"/>
              </w:rPr>
              <w:t xml:space="preserve">项目理解</w:t>
            </w:r>
            <w:r>
              <w:rPr>
                <w:rFonts w:hint="eastAsia" w:cs="宋体" w:asciiTheme="minorEastAsia" w:hAnsiTheme="minorEastAsia" w:eastAsiaTheme="minorEastAsia"/>
                <w:b/>
                <w:sz w:val="21"/>
                <w:szCs w:val="21"/>
              </w:rPr>
              <w:t xml:space="preserve">（5分）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sz w:val="21"/>
                <w:szCs w:val="21"/>
              </w:rPr>
              <w:t xml:space="preserve">1.1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273" w:lineRule="auto"/>
              <w:rPr>
                <w:rFonts w:ascii="宋体" w:hAnsi="宋体" w:eastAsia="宋体"/>
                <w:b/>
                <w:sz w:val="21"/>
                <w:szCs w:val="21"/>
              </w:rPr>
            </w:pPr>
            <w:r>
              <w:rPr>
                <w:rFonts w:hint="eastAsia" w:cs="宋体" w:asciiTheme="minorEastAsia" w:hAnsiTheme="minorEastAsia" w:eastAsiaTheme="minorEastAsia"/>
                <w:color w:val="000000"/>
                <w:sz w:val="21"/>
                <w:szCs w:val="21"/>
              </w:rPr>
              <w:t xml:space="preserve">项目理解</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b/>
                <w:sz w:val="21"/>
                <w:szCs w:val="21"/>
              </w:rPr>
            </w:pPr>
            <w:r>
              <w:rPr>
                <w:rFonts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供应商针对本项目实际提供的</w:t>
            </w:r>
            <w:r>
              <w:rPr>
                <w:rFonts w:hint="eastAsia" w:cs="宋体" w:asciiTheme="minorEastAsia" w:hAnsiTheme="minorEastAsia" w:eastAsiaTheme="minorEastAsia"/>
                <w:sz w:val="21"/>
                <w:szCs w:val="21"/>
              </w:rPr>
              <w:t xml:space="preserve">项目理解</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b/>
                <w:sz w:val="21"/>
                <w:szCs w:val="21"/>
              </w:rPr>
              <w:t xml:space="preserve">内容至少包括</w:t>
            </w:r>
            <w:r>
              <w:rPr>
                <w:rFonts w:hint="eastAsia" w:cs="宋体" w:asciiTheme="minorEastAsia" w:hAnsiTheme="minorEastAsia" w:eastAsiaTheme="minorEastAsia"/>
                <w:sz w:val="21"/>
                <w:szCs w:val="21"/>
              </w:rPr>
              <w:t xml:space="preserve">：</w:t>
            </w:r>
            <w:r/>
          </w:p>
          <w:p>
            <w:pPr>
              <w:pStyle w:val="1148"/>
              <w:numPr>
                <w:ilvl w:val="0"/>
                <w:numId w:val="9"/>
              </w:numPr>
              <w:ind w:left="176" w:hanging="2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项目需求理解和分析；</w:t>
            </w:r>
            <w:r/>
          </w:p>
          <w:p>
            <w:pPr>
              <w:pStyle w:val="1148"/>
              <w:numPr>
                <w:ilvl w:val="0"/>
                <w:numId w:val="9"/>
              </w:numPr>
              <w:ind w:left="176" w:hanging="2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常规巡检方案；</w:t>
            </w:r>
            <w:r/>
          </w:p>
          <w:p>
            <w:pPr>
              <w:pStyle w:val="1148"/>
              <w:numPr>
                <w:ilvl w:val="0"/>
                <w:numId w:val="9"/>
              </w:numPr>
              <w:ind w:left="176" w:hanging="2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数据信息智能化评判方案；</w:t>
            </w:r>
            <w:r/>
          </w:p>
          <w:p>
            <w:pPr>
              <w:pStyle w:val="1148"/>
              <w:numPr>
                <w:ilvl w:val="0"/>
                <w:numId w:val="9"/>
              </w:numPr>
              <w:ind w:left="176" w:hanging="2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灾害处置方案；</w:t>
            </w:r>
            <w:r/>
          </w:p>
          <w:p>
            <w:pPr>
              <w:pStyle w:val="1148"/>
              <w:numPr>
                <w:ilvl w:val="0"/>
                <w:numId w:val="9"/>
              </w:numPr>
              <w:ind w:left="176" w:hanging="2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监测和评估方案。</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方案内容贴合项目需求、理解透彻、专业性强的，每项得1分；每项方案内容与项目需求贴合度不高、出现一处不合理或错误的得0.5分；方案未论述或每项方案内容脱离采购需求、出现两处及以上不合理或错误的得0分；最高得5分。</w:t>
            </w:r>
            <w:r/>
          </w:p>
          <w:p>
            <w:pPr>
              <w:spacing w:line="273" w:lineRule="auto"/>
              <w:rPr>
                <w:rFonts w:ascii="宋体" w:hAnsi="宋体" w:eastAsia="宋体"/>
                <w:b/>
                <w:sz w:val="21"/>
                <w:szCs w:val="21"/>
              </w:rPr>
            </w:pPr>
            <w:r>
              <w:rPr>
                <w:rFonts w:hint="eastAsia" w:cs="宋体" w:asciiTheme="minorEastAsia" w:hAnsiTheme="minorEastAsia" w:eastAsiaTheme="minorEastAsia"/>
                <w:sz w:val="21"/>
                <w:szCs w:val="21"/>
              </w:rPr>
              <w:t xml:space="preserve">注：以上内容“不合理”、“错误”是指存在不适用项目实际情况、与本项目履约无关、存在逻辑漏洞以及不满足磋商文件要求的情况。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二</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rPr>
                <w:rFonts w:ascii="宋体" w:hAnsi="宋体" w:eastAsia="宋体"/>
                <w:b/>
                <w:sz w:val="21"/>
                <w:szCs w:val="21"/>
              </w:rPr>
            </w:pPr>
            <w:r>
              <w:rPr>
                <w:rFonts w:hint="eastAsia" w:ascii="宋体" w:hAnsi="宋体" w:eastAsia="宋体"/>
                <w:b/>
                <w:bCs/>
                <w:sz w:val="21"/>
                <w:szCs w:val="21"/>
              </w:rPr>
              <w:t xml:space="preserve">技术和服务方案（</w:t>
            </w:r>
            <w:r>
              <w:rPr>
                <w:rFonts w:ascii="宋体" w:hAnsi="宋体" w:eastAsia="宋体"/>
                <w:b/>
                <w:bCs/>
                <w:sz w:val="21"/>
                <w:szCs w:val="21"/>
              </w:rPr>
              <w:t xml:space="preserve">56</w:t>
            </w:r>
            <w:r>
              <w:rPr>
                <w:rFonts w:hint="eastAsia" w:ascii="宋体" w:hAnsi="宋体" w:eastAsia="宋体"/>
                <w:b/>
                <w:bCs/>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2.1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spacing w:line="273" w:lineRule="auto"/>
              <w:rPr>
                <w:rFonts w:ascii="宋体" w:hAnsi="宋体" w:eastAsia="宋体"/>
                <w:sz w:val="21"/>
                <w:szCs w:val="21"/>
              </w:rPr>
            </w:pPr>
            <w:r/>
            <w:bookmarkStart w:id="171" w:name="OLE_LINK103"/>
            <w:r/>
            <w:bookmarkStart w:id="172" w:name="OLE_LINK104"/>
            <w:r>
              <w:rPr>
                <w:rFonts w:hint="eastAsia" w:ascii="宋体" w:hAnsi="宋体" w:eastAsia="宋体"/>
                <w:sz w:val="21"/>
                <w:szCs w:val="21"/>
              </w:rPr>
              <w:t xml:space="preserve">指挥调度服务技术方案</w:t>
            </w:r>
            <w:bookmarkEnd w:id="171"/>
            <w:r/>
            <w:bookmarkEnd w:id="172"/>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针对本项目实际提供的指挥调度服务技术方案，</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pStyle w:val="1148"/>
              <w:numPr>
                <w:ilvl w:val="0"/>
                <w:numId w:val="10"/>
              </w:numPr>
              <w:ind w:left="176" w:hanging="2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巡检监控服务；</w:t>
            </w:r>
            <w:r/>
          </w:p>
          <w:p>
            <w:pPr>
              <w:pStyle w:val="1148"/>
              <w:numPr>
                <w:ilvl w:val="0"/>
                <w:numId w:val="10"/>
              </w:numPr>
              <w:ind w:left="176" w:hanging="2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指点飞行服务；</w:t>
            </w:r>
            <w:r/>
          </w:p>
          <w:p>
            <w:pPr>
              <w:pStyle w:val="1148"/>
              <w:numPr>
                <w:ilvl w:val="0"/>
                <w:numId w:val="10"/>
              </w:numPr>
              <w:ind w:left="176" w:hanging="2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设备管理服务；</w:t>
            </w:r>
            <w:r/>
          </w:p>
          <w:p>
            <w:pPr>
              <w:pStyle w:val="1148"/>
              <w:numPr>
                <w:ilvl w:val="0"/>
                <w:numId w:val="10"/>
              </w:numPr>
              <w:ind w:left="176" w:hanging="2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数据可视化服务。</w:t>
            </w:r>
            <w:r/>
          </w:p>
          <w:p>
            <w:pPr>
              <w:spacing w:line="273" w:lineRule="auto"/>
              <w:widowControl/>
              <w:rPr>
                <w:rFonts w:ascii="宋体" w:hAnsi="宋体" w:eastAsia="宋体"/>
                <w:sz w:val="21"/>
                <w:szCs w:val="21"/>
              </w:rPr>
            </w:pPr>
            <w:r>
              <w:rPr>
                <w:rFonts w:hint="eastAsia" w:ascii="宋体" w:hAnsi="宋体" w:eastAsia="宋体"/>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w:t>
            </w:r>
            <w:r>
              <w:rPr>
                <w:rFonts w:ascii="宋体" w:hAnsi="宋体" w:eastAsia="宋体"/>
                <w:sz w:val="21"/>
                <w:szCs w:val="21"/>
              </w:rPr>
              <w:t xml:space="preserve">8</w:t>
            </w:r>
            <w:r>
              <w:rPr>
                <w:rFonts w:hint="eastAsia" w:ascii="宋体" w:hAnsi="宋体" w:eastAsia="宋体"/>
                <w:sz w:val="21"/>
                <w:szCs w:val="21"/>
              </w:rPr>
              <w:t xml:space="preserve">分。</w:t>
            </w:r>
            <w:r/>
          </w:p>
          <w:p>
            <w:pPr>
              <w:spacing w:line="273" w:lineRule="auto"/>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注：以上内容“不合理”、“错误”是指存在不适用项目实际情况、与本项目履约无关、存在逻辑漏洞以及不满足磋商文件要求的情况。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Theme="minorEastAsia" w:hAnsiTheme="minorEastAsia" w:eastAsiaTheme="minorEastAsia"/>
                <w:sz w:val="21"/>
                <w:szCs w:val="21"/>
              </w:rPr>
              <w:t xml:space="preserve">2.2</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飞控服务技术方案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cs="宋体" w:asciiTheme="minorEastAsia" w:hAnsiTheme="minorEastAsia" w:eastAsiaTheme="minorEastAsia"/>
                <w:sz w:val="21"/>
                <w:szCs w:val="21"/>
              </w:rPr>
              <w:t xml:space="preserve">8</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供应商针对本项目实际提供的</w:t>
            </w:r>
            <w:r>
              <w:rPr>
                <w:rFonts w:hint="eastAsia" w:ascii="宋体" w:hAnsi="宋体" w:eastAsia="宋体"/>
                <w:sz w:val="21"/>
                <w:szCs w:val="21"/>
              </w:rPr>
              <w:t xml:space="preserve">飞控服务技术方案</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b/>
                <w:sz w:val="21"/>
                <w:szCs w:val="21"/>
              </w:rPr>
              <w:t xml:space="preserve">内容至少包括</w:t>
            </w:r>
            <w:r>
              <w:rPr>
                <w:rFonts w:hint="eastAsia" w:cs="宋体" w:asciiTheme="minorEastAsia" w:hAnsiTheme="minorEastAsia" w:eastAsiaTheme="minorEastAsia"/>
                <w:sz w:val="21"/>
                <w:szCs w:val="21"/>
              </w:rPr>
              <w:t xml:space="preserve">：</w:t>
            </w:r>
            <w:r/>
          </w:p>
          <w:p>
            <w:pPr>
              <w:pStyle w:val="1148"/>
              <w:numPr>
                <w:ilvl w:val="0"/>
                <w:numId w:val="11"/>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航线管理服务；</w:t>
            </w:r>
            <w:r/>
          </w:p>
          <w:p>
            <w:pPr>
              <w:pStyle w:val="1148"/>
              <w:numPr>
                <w:ilvl w:val="0"/>
                <w:numId w:val="11"/>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远程控制服务；</w:t>
            </w:r>
            <w:r/>
          </w:p>
          <w:p>
            <w:pPr>
              <w:pStyle w:val="1148"/>
              <w:numPr>
                <w:ilvl w:val="0"/>
                <w:numId w:val="11"/>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历史回放服务；</w:t>
            </w:r>
            <w:r/>
          </w:p>
          <w:p>
            <w:pPr>
              <w:pStyle w:val="1148"/>
              <w:numPr>
                <w:ilvl w:val="0"/>
                <w:numId w:val="11"/>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网络服务。</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方案内容贴合项目需求、科学合理、可行性强的，每项得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分；每项方案内容与项目需求贴合度不高、出现一处不合理或错误的得</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分；方案未论述或每项方案内容脱离采购需求、出现两处及以上不合理或错误的得0分；最高得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p>
          <w:p>
            <w:pPr>
              <w:spacing w:line="273" w:lineRule="auto"/>
              <w:rPr>
                <w:rFonts w:ascii="宋体" w:hAnsi="宋体" w:eastAsia="宋体"/>
                <w:sz w:val="21"/>
                <w:szCs w:val="21"/>
              </w:rPr>
            </w:pPr>
            <w:r>
              <w:rPr>
                <w:rFonts w:hint="eastAsia" w:cs="宋体" w:asciiTheme="minorEastAsia" w:hAnsiTheme="minorEastAsia" w:eastAsiaTheme="minorEastAsia"/>
                <w:sz w:val="21"/>
                <w:szCs w:val="21"/>
              </w:rPr>
              <w:t xml:space="preserve">注：以上内容“不合理”、“错误”是指存在不适用项目实际情况、与本项目履约无关、存在逻辑漏洞以及不满足磋商文件要求的情况。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2.3</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业务中台管理服务技术方案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8</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供应商针对本项目实际提供的</w:t>
            </w:r>
            <w:r>
              <w:rPr>
                <w:rFonts w:hint="eastAsia" w:ascii="宋体" w:hAnsi="宋体" w:eastAsia="宋体"/>
                <w:sz w:val="21"/>
                <w:szCs w:val="21"/>
              </w:rPr>
              <w:t xml:space="preserve">业务中台管理服务技术方案</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b/>
                <w:sz w:val="21"/>
                <w:szCs w:val="21"/>
              </w:rPr>
              <w:t xml:space="preserve">内容至少包括</w:t>
            </w:r>
            <w:r>
              <w:rPr>
                <w:rFonts w:hint="eastAsia" w:cs="宋体" w:asciiTheme="minorEastAsia" w:hAnsiTheme="minorEastAsia" w:eastAsiaTheme="minorEastAsia"/>
                <w:sz w:val="21"/>
                <w:szCs w:val="21"/>
              </w:rPr>
              <w:t xml:space="preserve">：</w:t>
            </w:r>
            <w:r/>
          </w:p>
          <w:p>
            <w:pPr>
              <w:pStyle w:val="1148"/>
              <w:numPr>
                <w:ilvl w:val="0"/>
                <w:numId w:val="12"/>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组织管理服务；</w:t>
            </w:r>
            <w:r/>
          </w:p>
          <w:p>
            <w:pPr>
              <w:pStyle w:val="1148"/>
              <w:numPr>
                <w:ilvl w:val="0"/>
                <w:numId w:val="12"/>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移动端事件处置服务；</w:t>
            </w:r>
            <w:r/>
          </w:p>
          <w:p>
            <w:pPr>
              <w:pStyle w:val="1148"/>
              <w:numPr>
                <w:ilvl w:val="0"/>
                <w:numId w:val="12"/>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事件数据统计可视化服务；</w:t>
            </w:r>
            <w:r/>
          </w:p>
          <w:p>
            <w:pPr>
              <w:pStyle w:val="1148"/>
              <w:numPr>
                <w:ilvl w:val="0"/>
                <w:numId w:val="12"/>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APP服务。</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方案内容贴合项目需求、科学合理、可行性强的，每项得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分；每项方案内容与项目需求贴合度不高、出现一处不合理或错误的得</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分；方案未论述或每项方案内容脱离采购需求、出现两处及以上不合理或错误的得0分；最高得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注：以上内容“不合理”、“错误”是指存在不适用项目实际情况、与本项目履约无关、存在逻辑漏洞以及不满足磋商文件要求的情况。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2.4</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AI识别算法服务技术方案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供应商针对本项目实际提供的</w:t>
            </w:r>
            <w:r>
              <w:rPr>
                <w:rFonts w:hint="eastAsia" w:ascii="宋体" w:hAnsi="宋体" w:eastAsia="宋体"/>
                <w:sz w:val="21"/>
                <w:szCs w:val="21"/>
              </w:rPr>
              <w:t xml:space="preserve">AI识别算法服务技术方案</w:t>
            </w:r>
            <w:r>
              <w:rPr>
                <w:rFonts w:hint="eastAsia" w:asciiTheme="minorEastAsia" w:hAnsiTheme="minorEastAsia" w:eastAsiaTheme="minorEastAsia"/>
                <w:sz w:val="21"/>
                <w:szCs w:val="21"/>
              </w:rPr>
              <w:t xml:space="preserve">，</w:t>
            </w:r>
            <w:r>
              <w:rPr>
                <w:rFonts w:hint="eastAsia" w:cs="宋体" w:asciiTheme="minorEastAsia" w:hAnsiTheme="minorEastAsia" w:eastAsiaTheme="minorEastAsia"/>
                <w:b/>
                <w:sz w:val="21"/>
                <w:szCs w:val="21"/>
              </w:rPr>
              <w:t xml:space="preserve">内容至少包括</w:t>
            </w:r>
            <w:r>
              <w:rPr>
                <w:rFonts w:hint="eastAsia" w:cs="宋体" w:asciiTheme="minorEastAsia" w:hAnsiTheme="minorEastAsia" w:eastAsiaTheme="minorEastAsia"/>
                <w:sz w:val="21"/>
                <w:szCs w:val="21"/>
              </w:rPr>
              <w:t xml:space="preserve">：</w:t>
            </w:r>
            <w:r/>
          </w:p>
          <w:p>
            <w:pPr>
              <w:pStyle w:val="1148"/>
              <w:numPr>
                <w:ilvl w:val="0"/>
                <w:numId w:val="13"/>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水面垃圾AI服务；</w:t>
            </w:r>
            <w:r/>
          </w:p>
          <w:p>
            <w:pPr>
              <w:pStyle w:val="1148"/>
              <w:numPr>
                <w:ilvl w:val="0"/>
                <w:numId w:val="13"/>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蓝藻AI服务；</w:t>
            </w:r>
            <w:r/>
          </w:p>
          <w:p>
            <w:pPr>
              <w:pStyle w:val="1148"/>
              <w:numPr>
                <w:ilvl w:val="0"/>
                <w:numId w:val="13"/>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烟火AI服务；</w:t>
            </w:r>
            <w:r/>
          </w:p>
          <w:p>
            <w:pPr>
              <w:pStyle w:val="1148"/>
              <w:numPr>
                <w:ilvl w:val="0"/>
                <w:numId w:val="13"/>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车辆违停AI服务；</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8分。</w:t>
            </w:r>
            <w:r/>
          </w:p>
          <w:p>
            <w:pPr>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注：以上内容“不合理”、“错误”是指存在不适用项目实际情况、与本项目履约无关、存在逻辑漏洞以及不满足磋商文件要求的情况。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2.5</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应急救援无人机系统技术服务方案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针对本项目实际提供的应急救援无人机系统技术服务方案，</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pStyle w:val="1148"/>
              <w:numPr>
                <w:ilvl w:val="0"/>
                <w:numId w:val="14"/>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bookmarkStart w:id="173" w:name="_Hlk196470321"/>
            <w:r>
              <w:rPr>
                <w:rFonts w:hint="eastAsia" w:asciiTheme="minorEastAsia" w:hAnsiTheme="minorEastAsia" w:eastAsiaTheme="minorEastAsia"/>
                <w:color w:val="000000" w:themeColor="text1"/>
                <w:sz w:val="21"/>
                <w14:textFill>
                  <w14:solidFill>
                    <w14:schemeClr w14:val="tx1"/>
                  </w14:solidFill>
                </w14:textFill>
              </w:rPr>
              <w:t xml:space="preserve">应急救援技术路线</w:t>
            </w:r>
            <w:bookmarkEnd w:id="173"/>
            <w:r>
              <w:rPr>
                <w:rFonts w:hint="eastAsia" w:asciiTheme="minorEastAsia" w:hAnsiTheme="minorEastAsia" w:eastAsiaTheme="minorEastAsia"/>
                <w:color w:val="000000" w:themeColor="text1"/>
                <w:sz w:val="21"/>
                <w14:textFill>
                  <w14:solidFill>
                    <w14:schemeClr w14:val="tx1"/>
                  </w14:solidFill>
                </w14:textFill>
              </w:rPr>
              <w:t xml:space="preserve">；</w:t>
            </w:r>
            <w:r/>
          </w:p>
          <w:p>
            <w:pPr>
              <w:pStyle w:val="1148"/>
              <w:numPr>
                <w:ilvl w:val="0"/>
                <w:numId w:val="14"/>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无人机系统及相关设备的选型依据；</w:t>
            </w:r>
            <w:r/>
          </w:p>
          <w:p>
            <w:pPr>
              <w:pStyle w:val="1148"/>
              <w:numPr>
                <w:ilvl w:val="0"/>
                <w:numId w:val="14"/>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无人机后台管理系统技术架构和具体方法；</w:t>
            </w:r>
            <w:r/>
          </w:p>
          <w:p>
            <w:pPr>
              <w:pStyle w:val="1148"/>
              <w:numPr>
                <w:ilvl w:val="0"/>
                <w:numId w:val="14"/>
              </w:numPr>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无人机系统安全管控措施。</w:t>
            </w:r>
            <w:r/>
          </w:p>
          <w:p>
            <w:pPr>
              <w:spacing w:line="273" w:lineRule="auto"/>
              <w:widowControl/>
              <w:rPr>
                <w:rFonts w:ascii="宋体" w:hAnsi="宋体" w:eastAsia="宋体"/>
                <w:sz w:val="21"/>
                <w:szCs w:val="21"/>
              </w:rPr>
            </w:pPr>
            <w:r>
              <w:rPr>
                <w:rFonts w:hint="eastAsia" w:ascii="宋体" w:hAnsi="宋体" w:eastAsia="宋体"/>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w:t>
            </w:r>
            <w:r>
              <w:rPr>
                <w:rFonts w:ascii="宋体" w:hAnsi="宋体" w:eastAsia="宋体"/>
                <w:sz w:val="21"/>
                <w:szCs w:val="21"/>
              </w:rPr>
              <w:t xml:space="preserve">8</w:t>
            </w:r>
            <w:r>
              <w:rPr>
                <w:rFonts w:hint="eastAsia" w:ascii="宋体" w:hAnsi="宋体" w:eastAsia="宋体"/>
                <w:sz w:val="21"/>
                <w:szCs w:val="21"/>
              </w:rPr>
              <w:t xml:space="preserve">分。</w:t>
            </w:r>
            <w:r/>
          </w:p>
          <w:p>
            <w:pPr>
              <w:spacing w:line="273" w:lineRule="auto"/>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注：以上内容“不合理”、“错误”是指存在不适用项目实际情况、与本项目履约无关、存在逻辑漏洞以及不满足磋商文件要求的情况。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2.6</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left"/>
              <w:spacing w:line="273" w:lineRule="auto"/>
              <w:widowControl/>
              <w:rPr>
                <w:rFonts w:ascii="宋体" w:hAnsi="宋体" w:eastAsia="宋体"/>
                <w:sz w:val="21"/>
                <w:szCs w:val="21"/>
              </w:rPr>
            </w:pPr>
            <w:r>
              <w:rPr>
                <w:rFonts w:hint="eastAsia" w:ascii="宋体" w:hAnsi="宋体" w:eastAsia="宋体"/>
                <w:sz w:val="21"/>
                <w:szCs w:val="21"/>
              </w:rPr>
              <w:t xml:space="preserve">项目实施方案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针对本项目实际提供的</w:t>
            </w:r>
            <w:r>
              <w:rPr>
                <w:rFonts w:hint="eastAsia" w:ascii="宋体" w:hAnsi="宋体" w:eastAsia="宋体"/>
                <w:sz w:val="21"/>
                <w:szCs w:val="21"/>
              </w:rPr>
              <w:t xml:space="preserve">项目实施方案，</w:t>
            </w:r>
            <w:r>
              <w:rPr>
                <w:rFonts w:hint="eastAsia" w:ascii="宋体" w:hAnsi="宋体" w:eastAsia="宋体"/>
                <w:b/>
                <w:sz w:val="21"/>
                <w:szCs w:val="21"/>
              </w:rPr>
              <w:t xml:space="preserve">内容至少包括</w:t>
            </w:r>
            <w:r>
              <w:rPr>
                <w:rFonts w:hint="eastAsia" w:ascii="宋体" w:hAnsi="宋体" w:eastAsia="宋体"/>
                <w:sz w:val="21"/>
                <w:szCs w:val="21"/>
              </w:rPr>
              <w:t xml:space="preserve">：</w:t>
            </w:r>
            <w:r/>
          </w:p>
          <w:p>
            <w:pPr>
              <w:pStyle w:val="1148"/>
              <w:numPr>
                <w:ilvl w:val="0"/>
                <w:numId w:val="15"/>
              </w:numPr>
              <w:ind w:left="318" w:hanging="3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实施方案具体方法和步骤；</w:t>
            </w:r>
            <w:r/>
          </w:p>
          <w:p>
            <w:pPr>
              <w:pStyle w:val="1148"/>
              <w:numPr>
                <w:ilvl w:val="0"/>
                <w:numId w:val="15"/>
              </w:numPr>
              <w:ind w:left="318" w:hanging="3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实施过程风险管控；</w:t>
            </w:r>
            <w:r/>
          </w:p>
          <w:p>
            <w:pPr>
              <w:pStyle w:val="1148"/>
              <w:numPr>
                <w:ilvl w:val="0"/>
                <w:numId w:val="15"/>
              </w:numPr>
              <w:ind w:left="318" w:hanging="3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实施管理办法、实施计划；</w:t>
            </w:r>
            <w:r/>
          </w:p>
          <w:p>
            <w:pPr>
              <w:pStyle w:val="1148"/>
              <w:numPr>
                <w:ilvl w:val="0"/>
                <w:numId w:val="15"/>
              </w:numPr>
              <w:ind w:left="318" w:hanging="318"/>
              <w:spacing w:line="273" w:lineRule="auto"/>
              <w:widowControl/>
              <w:tabs>
                <w:tab w:val="left" w:pos="154" w:leader="none"/>
              </w:tabs>
              <w:rPr>
                <w:rFonts w:asciiTheme="minorEastAsia" w:hAnsiTheme="minorEastAsia" w:eastAsiaTheme="minorEastAsia"/>
                <w:color w:val="000000" w:themeColor="text1"/>
                <w:sz w:val="21"/>
                <w14:textFill>
                  <w14:solidFill>
                    <w14:schemeClr w14:val="tx1"/>
                  </w14:solidFill>
                </w14:textFill>
              </w:rPr>
            </w:pPr>
            <w:r>
              <w:rPr>
                <w:rFonts w:hint="eastAsia" w:asciiTheme="minorEastAsia" w:hAnsiTheme="minorEastAsia" w:eastAsiaTheme="minorEastAsia"/>
                <w:color w:val="000000" w:themeColor="text1"/>
                <w:sz w:val="21"/>
                <w14:textFill>
                  <w14:solidFill>
                    <w14:schemeClr w14:val="tx1"/>
                  </w14:solidFill>
                </w14:textFill>
              </w:rPr>
              <w:t xml:space="preserve">培训和验收方案。</w:t>
            </w:r>
            <w:r/>
          </w:p>
          <w:p>
            <w:pPr>
              <w:spacing w:line="273" w:lineRule="auto"/>
              <w:widowControl/>
              <w:rPr>
                <w:rFonts w:ascii="宋体" w:hAnsi="宋体" w:eastAsia="宋体"/>
                <w:sz w:val="21"/>
                <w:szCs w:val="21"/>
              </w:rPr>
            </w:pPr>
            <w:r>
              <w:rPr>
                <w:rFonts w:hint="eastAsia" w:ascii="宋体" w:hAnsi="宋体" w:eastAsia="宋体"/>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w:t>
            </w:r>
            <w:r>
              <w:rPr>
                <w:rFonts w:ascii="宋体" w:hAnsi="宋体" w:eastAsia="宋体"/>
                <w:sz w:val="21"/>
                <w:szCs w:val="21"/>
              </w:rPr>
              <w:t xml:space="preserve">8</w:t>
            </w:r>
            <w:r>
              <w:rPr>
                <w:rFonts w:hint="eastAsia" w:ascii="宋体" w:hAnsi="宋体" w:eastAsia="宋体"/>
                <w:sz w:val="21"/>
                <w:szCs w:val="21"/>
              </w:rPr>
              <w:t xml:space="preserve">分。</w:t>
            </w:r>
            <w:r/>
          </w:p>
          <w:p>
            <w:pPr>
              <w:spacing w:line="273" w:lineRule="auto"/>
              <w:rPr>
                <w:rFonts w:ascii="宋体" w:hAnsi="宋体" w:eastAsia="宋体"/>
                <w:sz w:val="21"/>
                <w:szCs w:val="21"/>
              </w:rPr>
            </w:pPr>
            <w:r>
              <w:rPr>
                <w:rFonts w:hint="eastAsia" w:ascii="宋体" w:hAnsi="宋体" w:eastAsia="宋体"/>
                <w:sz w:val="21"/>
                <w:szCs w:val="21"/>
              </w:rPr>
              <w:t xml:space="preserve">注：以上内容“不合理”、“错误”是指存在不适用项目实际情况、与本项目履约无关、存在逻辑漏洞以及不满足磋商文件要求的情况。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cs="宋体" w:asciiTheme="minorEastAsia" w:hAnsiTheme="minorEastAsia" w:eastAsiaTheme="minorEastAsia"/>
                <w:sz w:val="21"/>
                <w:szCs w:val="21"/>
              </w:rPr>
              <w:t xml:space="preserve">2.7</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spacing w:line="273" w:lineRule="auto"/>
              <w:widowControl/>
              <w:rPr>
                <w:rFonts w:ascii="宋体" w:hAnsi="宋体" w:eastAsia="宋体"/>
                <w:sz w:val="21"/>
                <w:szCs w:val="21"/>
              </w:rPr>
            </w:pPr>
            <w:r>
              <w:rPr>
                <w:rFonts w:hint="eastAsia" w:asciiTheme="minorEastAsia" w:hAnsiTheme="minorEastAsia" w:eastAsiaTheme="minorEastAsia"/>
                <w:sz w:val="21"/>
                <w:szCs w:val="21"/>
              </w:rPr>
              <w:t xml:space="preserve">售后及应急保障服务方案</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hint="eastAsia" w:asciiTheme="minorEastAsia" w:hAnsiTheme="minorEastAsia" w:eastAsiaTheme="minorEastAsia"/>
                <w:sz w:val="21"/>
                <w:szCs w:val="21"/>
              </w:rPr>
              <w:t xml:space="preserve">8</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6" w:lineRule="auto"/>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供应商针对本项目实际提供的运维及售后服务方案，</w:t>
            </w:r>
            <w:r>
              <w:rPr>
                <w:rFonts w:hint="eastAsia" w:cs="宋体" w:asciiTheme="minorEastAsia" w:hAnsiTheme="minorEastAsia" w:eastAsiaTheme="minorEastAsia"/>
                <w:b/>
                <w:sz w:val="21"/>
                <w:szCs w:val="21"/>
              </w:rPr>
              <w:t xml:space="preserve">内容至少包括</w:t>
            </w:r>
            <w:r>
              <w:rPr>
                <w:rFonts w:hint="eastAsia" w:cs="宋体" w:asciiTheme="minorEastAsia" w:hAnsiTheme="minorEastAsia" w:eastAsiaTheme="minorEastAsia"/>
                <w:sz w:val="21"/>
                <w:szCs w:val="21"/>
              </w:rPr>
              <w:t xml:space="preserve">：</w:t>
            </w:r>
            <w:r/>
          </w:p>
          <w:p>
            <w:pPr>
              <w:pStyle w:val="1148"/>
              <w:numPr>
                <w:ilvl w:val="0"/>
                <w:numId w:val="16"/>
              </w:numPr>
              <w:spacing w:line="273" w:lineRule="auto"/>
              <w:widowControl/>
              <w:rPr>
                <w:rFonts w:ascii="宋体" w:hAnsi="宋体" w:eastAsia="宋体"/>
                <w:sz w:val="21"/>
                <w:szCs w:val="21"/>
              </w:rPr>
            </w:pPr>
            <w:r>
              <w:rPr>
                <w:rFonts w:hint="eastAsia" w:ascii="宋体" w:hAnsi="宋体" w:eastAsia="宋体"/>
                <w:sz w:val="21"/>
                <w:szCs w:val="21"/>
              </w:rPr>
              <w:t xml:space="preserve">售后保障服务方案；</w:t>
            </w:r>
            <w:r/>
          </w:p>
          <w:p>
            <w:pPr>
              <w:pStyle w:val="1148"/>
              <w:numPr>
                <w:ilvl w:val="0"/>
                <w:numId w:val="16"/>
              </w:numPr>
              <w:spacing w:line="273" w:lineRule="auto"/>
              <w:widowControl/>
              <w:rPr>
                <w:rFonts w:ascii="宋体" w:hAnsi="宋体" w:eastAsia="宋体"/>
                <w:sz w:val="21"/>
                <w:szCs w:val="21"/>
              </w:rPr>
            </w:pPr>
            <w:r>
              <w:rPr>
                <w:rFonts w:hint="eastAsia" w:ascii="宋体" w:hAnsi="宋体" w:eastAsia="宋体"/>
                <w:sz w:val="21"/>
                <w:szCs w:val="21"/>
              </w:rPr>
              <w:t xml:space="preserve">应急保障人员、保障团队；</w:t>
            </w:r>
            <w:r/>
          </w:p>
          <w:p>
            <w:pPr>
              <w:pStyle w:val="1148"/>
              <w:numPr>
                <w:ilvl w:val="0"/>
                <w:numId w:val="16"/>
              </w:numPr>
              <w:spacing w:line="273" w:lineRule="auto"/>
              <w:widowControl/>
              <w:rPr>
                <w:rFonts w:ascii="宋体" w:hAnsi="宋体" w:eastAsia="宋体"/>
                <w:sz w:val="21"/>
                <w:szCs w:val="21"/>
              </w:rPr>
            </w:pPr>
            <w:r>
              <w:rPr>
                <w:rFonts w:hint="eastAsia" w:ascii="宋体" w:hAnsi="宋体" w:eastAsia="宋体"/>
                <w:sz w:val="21"/>
                <w:szCs w:val="21"/>
              </w:rPr>
              <w:t xml:space="preserve">应急</w:t>
            </w:r>
            <w:r>
              <w:rPr>
                <w:rFonts w:hint="eastAsia" w:ascii="宋体" w:hAnsi="宋体" w:eastAsia="宋体"/>
                <w:sz w:val="21"/>
                <w:szCs w:val="21"/>
              </w:rPr>
              <w:t xml:space="preserve">保障内容（网络保障、系统保障、应急保障措施、应急保障维护流程图、应急电源配备）</w:t>
            </w:r>
            <w:r>
              <w:rPr>
                <w:rFonts w:hint="eastAsia" w:ascii="宋体" w:hAnsi="宋体" w:eastAsia="宋体"/>
                <w:sz w:val="21"/>
                <w:szCs w:val="21"/>
              </w:rPr>
              <w:t xml:space="preserve">；</w:t>
            </w:r>
            <w:r/>
          </w:p>
          <w:p>
            <w:pPr>
              <w:pStyle w:val="1148"/>
              <w:numPr>
                <w:ilvl w:val="0"/>
                <w:numId w:val="16"/>
              </w:numPr>
              <w:spacing w:line="273" w:lineRule="auto"/>
              <w:widowControl/>
              <w:rPr>
                <w:rFonts w:ascii="宋体" w:hAnsi="宋体" w:eastAsia="宋体"/>
                <w:sz w:val="21"/>
                <w:szCs w:val="21"/>
              </w:rPr>
            </w:pPr>
            <w:r>
              <w:rPr>
                <w:rFonts w:hint="eastAsia" w:ascii="宋体" w:hAnsi="宋体" w:eastAsia="宋体"/>
                <w:sz w:val="21"/>
                <w:szCs w:val="21"/>
              </w:rPr>
              <w:t xml:space="preserve">应急</w:t>
            </w:r>
            <w:r>
              <w:rPr>
                <w:rFonts w:hint="eastAsia" w:ascii="宋体" w:hAnsi="宋体" w:eastAsia="宋体"/>
                <w:sz w:val="21"/>
                <w:szCs w:val="21"/>
              </w:rPr>
              <w:t xml:space="preserve">售后保障服务（售后服务团队、电话服务、服务响应时间等）</w:t>
            </w:r>
            <w:r>
              <w:rPr>
                <w:rFonts w:hint="eastAsia" w:ascii="宋体" w:hAnsi="宋体" w:eastAsia="宋体"/>
                <w:sz w:val="21"/>
                <w:szCs w:val="21"/>
              </w:rPr>
              <w:t xml:space="preserve">。</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方案内容贴合项目需求、科学合理、可行性强的，每项得2分；每项方案内容与项目需求贴合度不高、出现一处不合理或错误的得1分；方案未论述或每项方案内容脱离采购需求、出现两处及以上不合理或错误的得0分；最高得8分。</w:t>
            </w:r>
            <w:r/>
          </w:p>
          <w:p>
            <w:pPr>
              <w:spacing w:line="273" w:lineRule="auto"/>
              <w:rPr>
                <w:rFonts w:ascii="宋体" w:hAnsi="宋体" w:eastAsia="宋体"/>
                <w:sz w:val="21"/>
                <w:szCs w:val="21"/>
              </w:rPr>
            </w:pPr>
            <w:r>
              <w:rPr>
                <w:rFonts w:hint="eastAsia" w:cs="宋体" w:asciiTheme="minorEastAsia" w:hAnsiTheme="minorEastAsia" w:eastAsiaTheme="minorEastAsia"/>
                <w:sz w:val="21"/>
                <w:szCs w:val="21"/>
              </w:rPr>
              <w:t xml:space="preserve">注：以上内容“不合理”、“错误”是指存在不适用项目实际情况、与本项目履约无关、存在逻辑漏洞以及不满足磋商文件要求的情况。</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三</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widowControl/>
              <w:rPr>
                <w:rFonts w:ascii="宋体" w:hAnsi="宋体" w:eastAsia="宋体"/>
                <w:sz w:val="21"/>
                <w:szCs w:val="21"/>
              </w:rPr>
            </w:pPr>
            <w:r>
              <w:rPr>
                <w:rFonts w:hint="eastAsia" w:cs="宋体" w:asciiTheme="minorEastAsia" w:hAnsiTheme="minorEastAsia" w:eastAsiaTheme="minorEastAsia"/>
                <w:b/>
                <w:bCs/>
                <w:color w:val="000000"/>
                <w:sz w:val="21"/>
                <w:szCs w:val="21"/>
              </w:rPr>
              <w:t xml:space="preserve">项目相关技术能力（4分）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left"/>
              <w:spacing w:line="273" w:lineRule="auto"/>
              <w:widowControl/>
              <w:rPr>
                <w:rFonts w:ascii="宋体" w:hAnsi="宋体" w:eastAsia="宋体"/>
                <w:sz w:val="21"/>
                <w:szCs w:val="21"/>
              </w:rPr>
            </w:pPr>
            <w:r>
              <w:rPr>
                <w:rFonts w:hint="eastAsia" w:cs="宋体" w:asciiTheme="minorEastAsia" w:hAnsiTheme="minorEastAsia" w:eastAsiaTheme="minorEastAsia"/>
                <w:color w:val="000000"/>
                <w:sz w:val="21"/>
                <w:szCs w:val="21"/>
              </w:rPr>
              <w:t xml:space="preserve">项目相关技术能力</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3" w:lineRule="auto"/>
              <w:widowControl/>
              <w:rPr>
                <w:rFonts w:hint="eastAsia" w:ascii="宋体" w:hAnsi="宋体" w:eastAsia="宋体"/>
                <w:sz w:val="21"/>
                <w:szCs w:val="21"/>
              </w:rPr>
            </w:pPr>
            <w:r>
              <w:rPr>
                <w:rFonts w:hint="eastAsia" w:ascii="宋体" w:hAnsi="宋体" w:eastAsia="宋体"/>
                <w:sz w:val="21"/>
                <w:szCs w:val="21"/>
              </w:rPr>
              <w:t xml:space="preserve">1）供应商具有与本项目应用场景相关的无人机指挥调度管理类软件著作权证书的，提供得1分。</w:t>
            </w:r>
            <w:r/>
          </w:p>
          <w:p>
            <w:pPr>
              <w:spacing w:line="273" w:lineRule="auto"/>
              <w:widowControl/>
              <w:rPr>
                <w:rFonts w:hint="eastAsia" w:ascii="宋体" w:hAnsi="宋体" w:eastAsia="宋体"/>
                <w:sz w:val="21"/>
                <w:szCs w:val="21"/>
              </w:rPr>
            </w:pPr>
            <w:r>
              <w:rPr>
                <w:rFonts w:hint="eastAsia" w:ascii="宋体" w:hAnsi="宋体" w:eastAsia="宋体"/>
                <w:sz w:val="21"/>
                <w:szCs w:val="21"/>
              </w:rPr>
              <w:t xml:space="preserve">2）供应商具有与本项目应用场景相关的无人机图像智能检测类软件著作权证书的；提供得1分。</w:t>
            </w:r>
            <w:r/>
          </w:p>
          <w:p>
            <w:pPr>
              <w:spacing w:line="273" w:lineRule="auto"/>
              <w:widowControl/>
              <w:rPr>
                <w:rFonts w:hint="eastAsia" w:ascii="宋体" w:hAnsi="宋体" w:eastAsia="宋体"/>
                <w:sz w:val="21"/>
                <w:szCs w:val="21"/>
              </w:rPr>
            </w:pPr>
            <w:r>
              <w:rPr>
                <w:rFonts w:hint="eastAsia" w:ascii="宋体" w:hAnsi="宋体" w:eastAsia="宋体"/>
                <w:sz w:val="21"/>
                <w:szCs w:val="21"/>
              </w:rPr>
              <w:t xml:space="preserve">3）供应商具有与本项目应用场景相关的无人机控制交互类实用新型专利证书的；提供得2分。</w:t>
            </w:r>
            <w:r/>
          </w:p>
          <w:p>
            <w:pPr>
              <w:spacing w:line="273" w:lineRule="auto"/>
              <w:widowControl/>
              <w:rPr>
                <w:rFonts w:hint="eastAsia" w:ascii="宋体" w:hAnsi="宋体" w:eastAsia="宋体"/>
                <w:sz w:val="21"/>
                <w:szCs w:val="21"/>
              </w:rPr>
            </w:pPr>
            <w:r>
              <w:rPr>
                <w:rFonts w:hint="eastAsia" w:ascii="宋体" w:hAnsi="宋体" w:eastAsia="宋体"/>
                <w:sz w:val="21"/>
                <w:szCs w:val="21"/>
              </w:rPr>
              <w:t xml:space="preserve">注：提供有效证书扫描件并加盖供应商公章，未按要求提供或提供不全不得分。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b/>
                <w:sz w:val="21"/>
                <w:szCs w:val="21"/>
              </w:rPr>
              <w:t xml:space="preserve">四</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widowControl/>
              <w:rPr>
                <w:rFonts w:ascii="宋体" w:hAnsi="宋体" w:eastAsia="宋体"/>
                <w:sz w:val="21"/>
                <w:szCs w:val="21"/>
              </w:rPr>
            </w:pPr>
            <w:r>
              <w:rPr>
                <w:rFonts w:hint="eastAsia" w:ascii="宋体" w:hAnsi="宋体" w:eastAsia="宋体"/>
                <w:b/>
                <w:bCs/>
                <w:sz w:val="21"/>
                <w:szCs w:val="21"/>
              </w:rPr>
              <w:t xml:space="preserve">人员服务能力（</w:t>
            </w:r>
            <w:r>
              <w:rPr>
                <w:rFonts w:ascii="宋体" w:hAnsi="宋体" w:eastAsia="宋体"/>
                <w:b/>
                <w:bCs/>
                <w:sz w:val="21"/>
                <w:szCs w:val="21"/>
              </w:rPr>
              <w:t xml:space="preserve">13</w:t>
            </w:r>
            <w:r>
              <w:rPr>
                <w:rFonts w:hint="eastAsia" w:ascii="宋体" w:hAnsi="宋体" w:eastAsia="宋体"/>
                <w:b/>
                <w:bCs/>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4.1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left"/>
              <w:spacing w:line="273" w:lineRule="auto"/>
              <w:widowControl/>
              <w:rPr>
                <w:rFonts w:ascii="宋体" w:hAnsi="宋体" w:eastAsia="宋体"/>
                <w:sz w:val="21"/>
                <w:szCs w:val="21"/>
              </w:rPr>
            </w:pPr>
            <w:r>
              <w:rPr>
                <w:rFonts w:hint="eastAsia" w:ascii="宋体" w:hAnsi="宋体" w:eastAsia="宋体"/>
                <w:sz w:val="21"/>
                <w:szCs w:val="21"/>
              </w:rPr>
              <w:t xml:space="preserve">人员服务能力</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widowControl/>
              <w:rPr>
                <w:rFonts w:ascii="宋体" w:hAnsi="宋体" w:eastAsia="宋体"/>
                <w:sz w:val="21"/>
                <w:szCs w:val="21"/>
              </w:rPr>
            </w:pPr>
            <w:r>
              <w:rPr>
                <w:rFonts w:ascii="宋体" w:hAnsi="宋体" w:eastAsia="宋体"/>
                <w:sz w:val="21"/>
                <w:szCs w:val="21"/>
              </w:rPr>
              <w:t xml:space="preserve">13</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1.项目经理（5分）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1）具有信息系统项目管理师证书的得1分；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2）具有系统集成项目管理工程师证书得1分；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3）具有信息安全工程师证书的得1分；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4）具有CISAW信息安全保障人员证书的得1分；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5）具有通信专业技术人员职业水平证书（互联网技术类）的得1分。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2.技术负责人（3分）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1）具有网络工程师证书的得1分；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2）具有系统分析师证书的得1分；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3）具有信息系统项目管理师证书的得1分。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3.运维负责人（3分）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1）具有网络工程师证书的得1分；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2）具有ITSS服务工程师证书的得1分；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3）具有CISAW信息安全保障人员（安全运维）证书的得1分；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4.其他项目实施成员（除项目经理、技术负责人、运维负责人外如存在一人多证情形，不重复计分）（2分）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1）具有数据库系统工程师证书的得1分；</w:t>
            </w:r>
            <w:r/>
          </w:p>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2）具有网络规划设计师证书的得1分；</w:t>
            </w:r>
            <w:r/>
          </w:p>
          <w:p>
            <w:pPr>
              <w:spacing w:line="273" w:lineRule="auto"/>
              <w:widowControl/>
              <w:rPr>
                <w:rFonts w:ascii="宋体" w:hAnsi="宋体" w:eastAsia="宋体"/>
                <w:sz w:val="21"/>
                <w:szCs w:val="21"/>
              </w:rPr>
            </w:pPr>
            <w:r>
              <w:rPr>
                <w:rFonts w:hint="eastAsia" w:cs="宋体" w:asciiTheme="minorEastAsia" w:hAnsiTheme="minorEastAsia" w:eastAsiaTheme="minorEastAsia"/>
                <w:sz w:val="21"/>
                <w:szCs w:val="21"/>
              </w:rPr>
              <w:t xml:space="preserve">注：提供人员有效证书扫描件，同时提供响应截止时间前最近一期供应商为其缴纳的社保证明扫描件，未按要求提供或提供不全不得分。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sz w:val="21"/>
                <w:szCs w:val="21"/>
              </w:rPr>
            </w:pPr>
            <w:r>
              <w:rPr>
                <w:rFonts w:hint="eastAsia" w:ascii="宋体" w:hAnsi="宋体" w:eastAsia="宋体"/>
                <w:b/>
                <w:sz w:val="21"/>
                <w:szCs w:val="21"/>
              </w:rPr>
              <w:t xml:space="preserve">五</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rPr>
                <w:rFonts w:ascii="宋体" w:hAnsi="宋体" w:eastAsia="宋体"/>
                <w:b/>
                <w:sz w:val="21"/>
                <w:szCs w:val="21"/>
              </w:rPr>
            </w:pPr>
            <w:r>
              <w:rPr>
                <w:rFonts w:hint="eastAsia" w:ascii="宋体" w:hAnsi="宋体" w:eastAsia="宋体"/>
                <w:b/>
                <w:bCs/>
                <w:sz w:val="21"/>
                <w:szCs w:val="21"/>
              </w:rPr>
              <w:t xml:space="preserve">综合实力（</w:t>
            </w:r>
            <w:r>
              <w:rPr>
                <w:rFonts w:ascii="宋体" w:hAnsi="宋体" w:eastAsia="宋体"/>
                <w:b/>
                <w:bCs/>
                <w:sz w:val="21"/>
                <w:szCs w:val="21"/>
              </w:rPr>
              <w:t xml:space="preserve">10</w:t>
            </w:r>
            <w:r>
              <w:rPr>
                <w:rFonts w:hint="eastAsia" w:ascii="宋体" w:hAnsi="宋体" w:eastAsia="宋体"/>
                <w:b/>
                <w:bCs/>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5.1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管理体系</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供应商具有质量管理体系认证证书、职业健康安全管理体系认证证书、环境管理体系认证证书、信息安全管理体系认证证书的，每提供一份得</w:t>
            </w:r>
            <w:r>
              <w:rPr>
                <w:rFonts w:ascii="宋体" w:hAnsi="宋体" w:eastAsia="宋体"/>
                <w:sz w:val="21"/>
                <w:szCs w:val="21"/>
              </w:rPr>
              <w:t xml:space="preserve">2</w:t>
            </w:r>
            <w:r>
              <w:rPr>
                <w:rFonts w:hint="eastAsia" w:ascii="宋体" w:hAnsi="宋体" w:eastAsia="宋体"/>
                <w:sz w:val="21"/>
                <w:szCs w:val="21"/>
              </w:rPr>
              <w:t xml:space="preserve">分；最高得</w:t>
            </w:r>
            <w:r>
              <w:rPr>
                <w:rFonts w:ascii="宋体" w:hAnsi="宋体" w:eastAsia="宋体"/>
                <w:sz w:val="21"/>
                <w:szCs w:val="21"/>
              </w:rPr>
              <w:t xml:space="preserve">8</w:t>
            </w:r>
            <w:r>
              <w:rPr>
                <w:rFonts w:hint="eastAsia" w:ascii="宋体" w:hAnsi="宋体" w:eastAsia="宋体"/>
                <w:sz w:val="21"/>
                <w:szCs w:val="21"/>
              </w:rPr>
              <w:t xml:space="preserve">分。</w:t>
            </w:r>
            <w:r/>
          </w:p>
          <w:p>
            <w:pPr>
              <w:spacing w:line="273" w:lineRule="auto"/>
              <w:widowControl/>
              <w:rPr>
                <w:rFonts w:ascii="宋体" w:hAnsi="宋体" w:eastAsia="宋体"/>
                <w:sz w:val="21"/>
                <w:szCs w:val="21"/>
              </w:rPr>
            </w:pPr>
            <w:r>
              <w:rPr>
                <w:rFonts w:ascii="宋体" w:hAnsi="宋体" w:eastAsia="宋体" w:cs="宋体"/>
                <w:sz w:val="21"/>
                <w:szCs w:val="21"/>
              </w:rPr>
              <w:t xml:space="preserve">注：</w:t>
            </w:r>
            <w:r>
              <w:rPr>
                <w:rFonts w:hint="eastAsia" w:ascii="宋体" w:hAnsi="宋体" w:eastAsia="宋体" w:cs="宋体"/>
                <w:sz w:val="21"/>
                <w:szCs w:val="21"/>
              </w:rPr>
              <w:t xml:space="preserve">提供有效证书</w:t>
            </w:r>
            <w:r>
              <w:rPr>
                <w:rFonts w:hint="eastAsia" w:ascii="宋体" w:hAnsi="宋体" w:eastAsia="宋体"/>
                <w:sz w:val="21"/>
                <w:szCs w:val="21"/>
              </w:rPr>
              <w:t xml:space="preserve">扫描件</w:t>
            </w:r>
            <w:r>
              <w:rPr>
                <w:rFonts w:hint="eastAsia" w:ascii="宋体" w:hAnsi="宋体" w:eastAsia="宋体" w:cs="宋体"/>
                <w:sz w:val="21"/>
                <w:szCs w:val="21"/>
              </w:rPr>
              <w:t xml:space="preserve">并加盖供应商公章，同时提供国家认证认可监督管理委员会官网的查询截图并提供查询途径</w:t>
            </w:r>
            <w:r>
              <w:rPr>
                <w:rFonts w:hint="eastAsia" w:ascii="宋体" w:hAnsi="宋体" w:eastAsia="宋体"/>
                <w:sz w:val="21"/>
                <w:szCs w:val="21"/>
              </w:rPr>
              <w:t xml:space="preserve">，未按要求提供或提供不全不得分</w:t>
            </w:r>
            <w:r>
              <w:rPr>
                <w:rFonts w:hint="eastAsia" w:ascii="宋体" w:hAnsi="宋体" w:eastAsia="宋体" w:cs="宋体"/>
                <w:sz w:val="21"/>
                <w:szCs w:val="21"/>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综合能力</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供应商具有ITSS信息技术服务符合性证书，每提供一种类别得1分；最高得2分。</w:t>
            </w:r>
            <w:r/>
          </w:p>
          <w:p>
            <w:pPr>
              <w:spacing w:line="276" w:lineRule="auto"/>
              <w:rPr>
                <w:rFonts w:ascii="宋体" w:hAnsi="宋体" w:eastAsia="宋体"/>
                <w:sz w:val="21"/>
                <w:szCs w:val="21"/>
              </w:rPr>
            </w:pPr>
            <w:r>
              <w:rPr>
                <w:rFonts w:ascii="宋体" w:hAnsi="宋体" w:eastAsia="宋体"/>
                <w:sz w:val="21"/>
                <w:szCs w:val="21"/>
              </w:rPr>
              <w:t xml:space="preserve">注：</w:t>
            </w:r>
            <w:r>
              <w:rPr>
                <w:rFonts w:hint="eastAsia" w:ascii="宋体" w:hAnsi="宋体" w:eastAsia="宋体"/>
                <w:sz w:val="21"/>
                <w:szCs w:val="21"/>
              </w:rPr>
              <w:t xml:space="preserve">提供有效证书扫描件并加盖供应商公章，未按要求提供或提供不全不得分。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b/>
                <w:bCs/>
                <w:sz w:val="21"/>
                <w:szCs w:val="21"/>
              </w:rPr>
            </w:pPr>
            <w:r>
              <w:rPr>
                <w:rFonts w:hint="eastAsia" w:ascii="宋体" w:hAnsi="宋体" w:eastAsia="宋体"/>
                <w:b/>
                <w:bCs/>
                <w:sz w:val="21"/>
                <w:szCs w:val="21"/>
              </w:rPr>
              <w:t xml:space="preserve">六</w:t>
            </w:r>
            <w:r/>
          </w:p>
        </w:tc>
        <w:tc>
          <w:tcPr>
            <w:gridSpan w:val="3"/>
            <w:tcBorders>
              <w:top w:val="single" w:color="auto" w:sz="4" w:space="0"/>
              <w:left w:val="single" w:color="auto" w:sz="4" w:space="0"/>
              <w:bottom w:val="single" w:color="auto" w:sz="4" w:space="0"/>
              <w:right w:val="single" w:color="auto" w:sz="4" w:space="0"/>
            </w:tcBorders>
            <w:tcW w:w="4705" w:type="pct"/>
            <w:vAlign w:val="center"/>
            <w:textDirection w:val="lrTb"/>
            <w:noWrap w:val="false"/>
          </w:tcPr>
          <w:p>
            <w:pPr>
              <w:spacing w:line="273" w:lineRule="auto"/>
              <w:widowControl/>
              <w:rPr>
                <w:rFonts w:ascii="宋体" w:hAnsi="宋体" w:eastAsia="宋体"/>
                <w:b/>
                <w:bCs/>
                <w:sz w:val="21"/>
                <w:szCs w:val="21"/>
              </w:rPr>
            </w:pPr>
            <w:r/>
            <w:bookmarkStart w:id="174" w:name="OLE_LINK12"/>
            <w:r>
              <w:rPr>
                <w:rFonts w:hint="eastAsia" w:ascii="宋体" w:hAnsi="宋体" w:eastAsia="宋体"/>
                <w:b/>
                <w:bCs/>
                <w:sz w:val="21"/>
                <w:szCs w:val="21"/>
              </w:rPr>
              <w:t xml:space="preserve">履约能力</w:t>
            </w:r>
            <w:bookmarkEnd w:id="174"/>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val="false"/>
          </w:tcPr>
          <w:p>
            <w:pPr>
              <w:jc w:val="center"/>
              <w:spacing w:line="273" w:lineRule="auto"/>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3838" w:type="pct"/>
            <w:vAlign w:val="center"/>
            <w:textDirection w:val="lrTb"/>
            <w:noWrap w:val="false"/>
          </w:tcPr>
          <w:p>
            <w:pPr>
              <w:spacing w:line="273" w:lineRule="auto"/>
              <w:rPr>
                <w:rFonts w:ascii="宋体" w:hAnsi="宋体" w:eastAsia="宋体"/>
                <w:sz w:val="21"/>
                <w:szCs w:val="21"/>
              </w:rPr>
            </w:pPr>
            <w:r>
              <w:rPr>
                <w:rFonts w:hint="eastAsia" w:ascii="宋体" w:hAnsi="宋体" w:eastAsia="宋体"/>
                <w:sz w:val="21"/>
                <w:szCs w:val="21"/>
              </w:rPr>
              <w:t xml:space="preserve">供应商</w:t>
            </w:r>
            <w:r>
              <w:rPr>
                <w:rFonts w:hint="eastAsia" w:ascii="宋体" w:hAnsi="宋体" w:eastAsia="宋体"/>
                <w:sz w:val="21"/>
                <w:szCs w:val="21"/>
              </w:rPr>
              <w:t xml:space="preserve">具</w:t>
            </w:r>
            <w:bookmarkStart w:id="175" w:name="OLE_LINK76"/>
            <w:r>
              <w:rPr>
                <w:rFonts w:hint="eastAsia" w:ascii="宋体" w:hAnsi="宋体" w:eastAsia="宋体"/>
                <w:sz w:val="21"/>
                <w:szCs w:val="21"/>
              </w:rPr>
              <w:t xml:space="preserve">有自20</w:t>
            </w:r>
            <w:bookmarkEnd w:id="175"/>
            <w:r>
              <w:rPr>
                <w:rFonts w:hint="eastAsia" w:ascii="宋体" w:hAnsi="宋体" w:eastAsia="宋体"/>
                <w:sz w:val="21"/>
                <w:szCs w:val="21"/>
              </w:rPr>
              <w:t xml:space="preserve">2</w:t>
            </w:r>
            <w:r>
              <w:rPr>
                <w:rFonts w:ascii="宋体" w:hAnsi="宋体" w:eastAsia="宋体"/>
                <w:sz w:val="21"/>
                <w:szCs w:val="21"/>
              </w:rPr>
              <w:t xml:space="preserve">3</w:t>
            </w:r>
            <w:r>
              <w:rPr>
                <w:rFonts w:hint="eastAsia" w:ascii="宋体" w:hAnsi="宋体" w:eastAsia="宋体"/>
                <w:sz w:val="21"/>
                <w:szCs w:val="21"/>
              </w:rPr>
              <w:t xml:space="preserve">年1月1日（以合同签订日期为准）以来独立承担的类似项目业绩，每提供一份得1分；最高得</w:t>
            </w:r>
            <w:r>
              <w:rPr>
                <w:rFonts w:ascii="宋体" w:hAnsi="宋体" w:eastAsia="宋体"/>
                <w:sz w:val="21"/>
                <w:szCs w:val="21"/>
              </w:rPr>
              <w:t xml:space="preserve">2</w:t>
            </w:r>
            <w:r>
              <w:rPr>
                <w:rFonts w:hint="eastAsia" w:ascii="宋体" w:hAnsi="宋体" w:eastAsia="宋体"/>
                <w:sz w:val="21"/>
                <w:szCs w:val="21"/>
              </w:rPr>
              <w:t xml:space="preserve">分。</w:t>
            </w:r>
            <w:r/>
          </w:p>
          <w:p>
            <w:pPr>
              <w:spacing w:line="273" w:lineRule="auto"/>
              <w:widowControl/>
              <w:rPr>
                <w:rFonts w:ascii="宋体" w:hAnsi="宋体" w:eastAsia="宋体"/>
                <w:sz w:val="21"/>
                <w:szCs w:val="21"/>
              </w:rPr>
            </w:pPr>
            <w:r>
              <w:rPr>
                <w:rFonts w:hint="eastAsia" w:ascii="宋体" w:hAnsi="宋体" w:eastAsia="宋体"/>
                <w:sz w:val="21"/>
                <w:szCs w:val="21"/>
              </w:rPr>
              <w:t xml:space="preserve">注：提供合同扫描件</w:t>
            </w:r>
            <w:r>
              <w:rPr>
                <w:rFonts w:hint="eastAsia" w:ascii="宋体" w:hAnsi="宋体" w:eastAsia="宋体"/>
                <w:sz w:val="21"/>
                <w:szCs w:val="21"/>
              </w:rPr>
              <w:t xml:space="preserve">并加盖供应商公章</w:t>
            </w:r>
            <w:r>
              <w:rPr>
                <w:rFonts w:hint="eastAsia" w:ascii="宋体" w:hAnsi="宋体" w:eastAsia="宋体"/>
                <w:sz w:val="21"/>
                <w:szCs w:val="21"/>
              </w:rPr>
              <w:t xml:space="preserve">，未按要求提供或提供不全不得分。</w:t>
            </w:r>
            <w:bookmarkEnd w:id="169"/>
            <w:r/>
            <w:bookmarkEnd w:id="170"/>
            <w:r/>
            <w:r/>
          </w:p>
        </w:tc>
      </w:tr>
    </w:tbl>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1.针对评分标准中评分的每一条，供应商均应提供相关资料并作出相应说明供磋商小组评判，不提供相关资料的视为不具备该项得分的条件。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2.响应文件中如出现含义不明确、同类问题表述不一致或者有明显文字和计算错误的内容时，磋商小组有权请供应商澄清说明，澄清说明事项涉及评分时，磋商小组有权酌情扣分。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供应商须保证全部响应资料的真实性，如有虚假或对磋商文件所要求说明的情况故意隐瞒或虚报，视为不实质性响应磋商文件，为无效响应，已中标的将取消中标资格，按“提供虚假材料谋取中标、成交”相关处理办法处理。</w:t>
      </w:r>
      <w:r/>
    </w:p>
    <w:p>
      <w:pPr>
        <w:jc w:val="right"/>
        <w:spacing w:line="276" w:lineRule="auto"/>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（全文完</w:t>
      </w:r>
      <w:r>
        <w:rPr>
          <w:rFonts w:asciiTheme="minorEastAsia" w:hAnsiTheme="minorEastAsia" w:eastAsiaTheme="minorEastAsia"/>
          <w:sz w:val="21"/>
          <w:szCs w:val="21"/>
          <w:lang w:val="zh-CN"/>
        </w:rPr>
        <w:t xml:space="preserve">）</w:t>
      </w:r>
      <w:bookmarkEnd w:id="25"/>
      <w:r/>
      <w:bookmarkEnd w:id="26"/>
      <w:r/>
      <w:bookmarkEnd w:id="167"/>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imesNewRomanPSMT">
    <w:panose1 w:val="02020603050405020304"/>
  </w:font>
  <w:font w:name="仿宋">
    <w:panose1 w:val="02010609060101010101"/>
  </w:font>
  <w:font w:name="Tahoma">
    <w:panose1 w:val="020B0604030504040204"/>
  </w:font>
  <w:font w:name="微软雅黑">
    <w:panose1 w:val="020B050302020402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MS Gothic">
    <w:panose1 w:val="020B0609070205080204"/>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17</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57</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tabs>
        <w:tab w:val="clear" w:pos="4153" w:leader="none"/>
        <w:tab w:val="clear" w:pos="8306" w:leader="none"/>
      </w:tabs>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jc w:val="both"/>
      <w:rPr>
        <w:rFonts w:ascii="宋体" w:hAnsi="宋体"/>
        <w:color w:val="000000"/>
        <w:szCs w:val="18"/>
      </w:rPr>
    </w:pPr>
    <w:r>
      <w:rPr>
        <w:rFonts w:hint="eastAsia" w:ascii="宋体" w:hAnsi="宋体"/>
        <w:color w:val="000000"/>
        <w:szCs w:val="18"/>
      </w:rPr>
      <w:t xml:space="preserve">无人机“综合飞一次”项目</w:t>
    </w:r>
    <w:r>
      <w:rPr>
        <w:rFonts w:ascii="宋体" w:hAnsi="宋体"/>
        <w:color w:val="000000"/>
        <w:szCs w:val="18"/>
      </w:rPr>
      <w:t xml:space="preserve">                                                JSZC-320506111-HYTZ-C2026-0001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105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981"/>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873"/>
      <w:isLgl w:val="false"/>
      <w:suff w:val="tab"/>
      <w:lvlText w:val="%1.%2.%3.%4.%5"/>
      <w:lvlJc w:val="left"/>
      <w:pPr>
        <w:ind w:left="1008" w:hanging="1008"/>
        <w:tabs>
          <w:tab w:val="left" w:pos="1008" w:leader="none"/>
        </w:tabs>
      </w:pPr>
      <w:rPr>
        <w:rFonts w:hint="eastAsia"/>
      </w:rPr>
    </w:lvl>
    <w:lvl w:ilvl="5">
      <w:start w:val="1"/>
      <w:numFmt w:val="decimal"/>
      <w:pStyle w:val="874"/>
      <w:isLgl w:val="false"/>
      <w:suff w:val="tab"/>
      <w:lvlText w:val="%1.%2.%3.%4.%5.%6"/>
      <w:lvlJc w:val="left"/>
      <w:pPr>
        <w:ind w:left="1152" w:hanging="1152"/>
        <w:tabs>
          <w:tab w:val="left" w:pos="1152" w:leader="none"/>
        </w:tabs>
      </w:pPr>
      <w:rPr>
        <w:rFonts w:hint="eastAsia"/>
      </w:rPr>
    </w:lvl>
    <w:lvl w:ilvl="6">
      <w:start w:val="1"/>
      <w:numFmt w:val="decimal"/>
      <w:pStyle w:val="875"/>
      <w:isLgl w:val="false"/>
      <w:suff w:val="tab"/>
      <w:lvlText w:val="%1.%2.%3.%4.%5.%6.%7"/>
      <w:lvlJc w:val="left"/>
      <w:pPr>
        <w:ind w:left="1296" w:hanging="1296"/>
        <w:tabs>
          <w:tab w:val="left" w:pos="1296" w:leader="none"/>
        </w:tabs>
      </w:pPr>
      <w:rPr>
        <w:rFonts w:hint="eastAsia"/>
      </w:rPr>
    </w:lvl>
    <w:lvl w:ilvl="7">
      <w:start w:val="1"/>
      <w:numFmt w:val="decimal"/>
      <w:pStyle w:val="876"/>
      <w:isLgl w:val="false"/>
      <w:suff w:val="tab"/>
      <w:lvlText w:val="%1.%2.%3.%4.%5.%6.%7.%8"/>
      <w:lvlJc w:val="left"/>
      <w:pPr>
        <w:ind w:left="1440" w:hanging="1440"/>
        <w:tabs>
          <w:tab w:val="left" w:pos="1440" w:leader="none"/>
        </w:tabs>
      </w:pPr>
      <w:rPr>
        <w:rFonts w:hint="eastAsia"/>
      </w:rPr>
    </w:lvl>
    <w:lvl w:ilvl="8">
      <w:start w:val="1"/>
      <w:numFmt w:val="decimal"/>
      <w:pStyle w:val="877"/>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pStyle w:val="1130"/>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1129"/>
      <w:isLgl w:val="false"/>
      <w:suff w:val="tab"/>
      <w:lvlText w:val="%4."/>
      <w:lvlJc w:val="left"/>
      <w:pPr>
        <w:ind w:left="1680" w:hanging="420"/>
      </w:pPr>
    </w:lvl>
    <w:lvl w:ilvl="4">
      <w:start w:val="1"/>
      <w:numFmt w:val="lowerLetter"/>
      <w:pStyle w:val="1132"/>
      <w:isLgl w:val="false"/>
      <w:suff w:val="tab"/>
      <w:lvlText w:val="%5)"/>
      <w:lvlJc w:val="left"/>
      <w:pPr>
        <w:ind w:left="2100" w:hanging="420"/>
      </w:pPr>
    </w:lvl>
    <w:lvl w:ilvl="5">
      <w:start w:val="1"/>
      <w:numFmt w:val="lowerRoman"/>
      <w:pStyle w:val="1131"/>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pStyle w:val="1063"/>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7">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 w:numId="4">
    <w:abstractNumId w:val="6"/>
  </w:num>
  <w:num w:numId="5">
    <w:abstractNumId w:val="4"/>
  </w:num>
  <w:num w:numId="6">
    <w:abstractNumId w:val="3"/>
  </w:num>
  <w:num w:numId="7">
    <w:abstractNumId w:val="12"/>
  </w:num>
  <w:num w:numId="8">
    <w:abstractNumId w:val="5"/>
  </w:num>
  <w:num w:numId="9">
    <w:abstractNumId w:val="11"/>
  </w:num>
  <w:num w:numId="10">
    <w:abstractNumId w:val="15"/>
  </w:num>
  <w:num w:numId="11">
    <w:abstractNumId w:val="8"/>
  </w:num>
  <w:num w:numId="12">
    <w:abstractNumId w:val="13"/>
  </w:num>
  <w:num w:numId="13">
    <w:abstractNumId w:val="7"/>
  </w:num>
  <w:num w:numId="14">
    <w:abstractNumId w:val="9"/>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78"/>
    <w:link w:val="869"/>
    <w:uiPriority w:val="9"/>
    <w:rPr>
      <w:rFonts w:ascii="Arial" w:hAnsi="Arial" w:eastAsia="Arial" w:cs="Arial"/>
      <w:sz w:val="40"/>
      <w:szCs w:val="40"/>
    </w:rPr>
  </w:style>
  <w:style w:type="character" w:styleId="722">
    <w:name w:val="Heading 2 Char"/>
    <w:basedOn w:val="878"/>
    <w:link w:val="870"/>
    <w:uiPriority w:val="9"/>
    <w:rPr>
      <w:rFonts w:ascii="Arial" w:hAnsi="Arial" w:eastAsia="Arial" w:cs="Arial"/>
      <w:sz w:val="34"/>
    </w:rPr>
  </w:style>
  <w:style w:type="character" w:styleId="723">
    <w:name w:val="Heading 3 Char"/>
    <w:basedOn w:val="878"/>
    <w:link w:val="871"/>
    <w:uiPriority w:val="9"/>
    <w:rPr>
      <w:rFonts w:ascii="Arial" w:hAnsi="Arial" w:eastAsia="Arial" w:cs="Arial"/>
      <w:sz w:val="30"/>
      <w:szCs w:val="30"/>
    </w:rPr>
  </w:style>
  <w:style w:type="character" w:styleId="724">
    <w:name w:val="Heading 4 Char"/>
    <w:basedOn w:val="878"/>
    <w:link w:val="872"/>
    <w:uiPriority w:val="9"/>
    <w:rPr>
      <w:rFonts w:ascii="Arial" w:hAnsi="Arial" w:eastAsia="Arial" w:cs="Arial"/>
      <w:b/>
      <w:bCs/>
      <w:sz w:val="26"/>
      <w:szCs w:val="26"/>
    </w:rPr>
  </w:style>
  <w:style w:type="character" w:styleId="725">
    <w:name w:val="Heading 5 Char"/>
    <w:basedOn w:val="878"/>
    <w:link w:val="873"/>
    <w:uiPriority w:val="9"/>
    <w:rPr>
      <w:rFonts w:ascii="Arial" w:hAnsi="Arial" w:eastAsia="Arial" w:cs="Arial"/>
      <w:b/>
      <w:bCs/>
      <w:sz w:val="24"/>
      <w:szCs w:val="24"/>
    </w:rPr>
  </w:style>
  <w:style w:type="character" w:styleId="726">
    <w:name w:val="Heading 6 Char"/>
    <w:basedOn w:val="878"/>
    <w:link w:val="874"/>
    <w:uiPriority w:val="9"/>
    <w:rPr>
      <w:rFonts w:ascii="Arial" w:hAnsi="Arial" w:eastAsia="Arial" w:cs="Arial"/>
      <w:b/>
      <w:bCs/>
      <w:sz w:val="22"/>
      <w:szCs w:val="22"/>
    </w:rPr>
  </w:style>
  <w:style w:type="character" w:styleId="727">
    <w:name w:val="Heading 7 Char"/>
    <w:basedOn w:val="878"/>
    <w:link w:val="875"/>
    <w:uiPriority w:val="9"/>
    <w:rPr>
      <w:rFonts w:ascii="Arial" w:hAnsi="Arial" w:eastAsia="Arial" w:cs="Arial"/>
      <w:b/>
      <w:bCs/>
      <w:i/>
      <w:iCs/>
      <w:sz w:val="22"/>
      <w:szCs w:val="22"/>
    </w:rPr>
  </w:style>
  <w:style w:type="character" w:styleId="728">
    <w:name w:val="Heading 8 Char"/>
    <w:basedOn w:val="878"/>
    <w:link w:val="876"/>
    <w:uiPriority w:val="9"/>
    <w:rPr>
      <w:rFonts w:ascii="Arial" w:hAnsi="Arial" w:eastAsia="Arial" w:cs="Arial"/>
      <w:i/>
      <w:iCs/>
      <w:sz w:val="22"/>
      <w:szCs w:val="22"/>
    </w:rPr>
  </w:style>
  <w:style w:type="character" w:styleId="729">
    <w:name w:val="Heading 9 Char"/>
    <w:basedOn w:val="878"/>
    <w:link w:val="877"/>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character" w:styleId="731">
    <w:name w:val="Title Char"/>
    <w:basedOn w:val="878"/>
    <w:link w:val="924"/>
    <w:uiPriority w:val="10"/>
    <w:rPr>
      <w:sz w:val="48"/>
      <w:szCs w:val="48"/>
    </w:rPr>
  </w:style>
  <w:style w:type="character" w:styleId="732">
    <w:name w:val="Subtitle Char"/>
    <w:basedOn w:val="878"/>
    <w:link w:val="910"/>
    <w:uiPriority w:val="11"/>
    <w:rPr>
      <w:sz w:val="24"/>
      <w:szCs w:val="24"/>
    </w:rPr>
  </w:style>
  <w:style w:type="paragraph" w:styleId="733">
    <w:name w:val="Quote"/>
    <w:basedOn w:val="868"/>
    <w:next w:val="868"/>
    <w:link w:val="734"/>
    <w:uiPriority w:val="29"/>
    <w:qFormat/>
    <w:pPr>
      <w:ind w:left="720" w:right="720"/>
    </w:pPr>
    <w:rPr>
      <w:i/>
    </w:rPr>
  </w:style>
  <w:style w:type="character" w:styleId="734">
    <w:name w:val="Quote Char"/>
    <w:link w:val="733"/>
    <w:uiPriority w:val="29"/>
    <w:rPr>
      <w:i/>
    </w:rPr>
  </w:style>
  <w:style w:type="paragraph" w:styleId="735">
    <w:name w:val="Intense Quote"/>
    <w:basedOn w:val="868"/>
    <w:next w:val="868"/>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78"/>
    <w:link w:val="905"/>
    <w:uiPriority w:val="99"/>
  </w:style>
  <w:style w:type="character" w:styleId="738">
    <w:name w:val="Footer Char"/>
    <w:basedOn w:val="878"/>
    <w:link w:val="904"/>
    <w:uiPriority w:val="99"/>
  </w:style>
  <w:style w:type="character" w:styleId="739">
    <w:name w:val="Caption Char"/>
    <w:basedOn w:val="884"/>
    <w:link w:val="904"/>
    <w:uiPriority w:val="99"/>
  </w:style>
  <w:style w:type="table" w:styleId="740">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Footnote Text Char"/>
    <w:link w:val="912"/>
    <w:uiPriority w:val="99"/>
    <w:rPr>
      <w:sz w:val="18"/>
    </w:rPr>
  </w:style>
  <w:style w:type="character" w:styleId="866">
    <w:name w:val="Endnote Text Char"/>
    <w:link w:val="902"/>
    <w:uiPriority w:val="99"/>
    <w:rPr>
      <w:sz w:val="20"/>
    </w:rPr>
  </w:style>
  <w:style w:type="paragraph" w:styleId="867">
    <w:name w:val="TOC Heading"/>
    <w:uiPriority w:val="39"/>
    <w:unhideWhenUsed/>
  </w:style>
  <w:style w:type="paragraph" w:styleId="868"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69">
    <w:name w:val="Heading 1"/>
    <w:basedOn w:val="868"/>
    <w:next w:val="868"/>
    <w:link w:val="993"/>
    <w:uiPriority w:val="9"/>
    <w:qFormat/>
    <w:pPr>
      <w:keepLines/>
      <w:keepNext/>
      <w:spacing w:before="340" w:after="330" w:line="578" w:lineRule="auto"/>
      <w:outlineLvl w:val="0"/>
    </w:pPr>
    <w:rPr>
      <w:rFonts w:eastAsia="宋体"/>
      <w:b/>
      <w:sz w:val="44"/>
    </w:rPr>
  </w:style>
  <w:style w:type="paragraph" w:styleId="870">
    <w:name w:val="Heading 2"/>
    <w:basedOn w:val="868"/>
    <w:next w:val="868"/>
    <w:link w:val="957"/>
    <w:uiPriority w:val="9"/>
    <w:qFormat/>
    <w:pPr>
      <w:keepLines/>
      <w:keepNext/>
      <w:spacing w:before="260" w:after="260" w:line="416" w:lineRule="auto"/>
      <w:outlineLvl w:val="1"/>
    </w:pPr>
    <w:rPr>
      <w:rFonts w:ascii="Cambria" w:hAnsi="Cambria" w:eastAsia="宋体"/>
      <w:b/>
      <w:bCs/>
      <w:sz w:val="32"/>
      <w:szCs w:val="32"/>
    </w:rPr>
  </w:style>
  <w:style w:type="paragraph" w:styleId="871">
    <w:name w:val="Heading 3"/>
    <w:basedOn w:val="868"/>
    <w:next w:val="868"/>
    <w:link w:val="958"/>
    <w:uiPriority w:val="9"/>
    <w:qFormat/>
    <w:pPr>
      <w:keepLines/>
      <w:keepNext/>
      <w:spacing w:before="260" w:after="260" w:line="416" w:lineRule="auto"/>
      <w:outlineLvl w:val="2"/>
    </w:pPr>
    <w:rPr>
      <w:rFonts w:eastAsia="宋体"/>
      <w:b/>
      <w:bCs/>
      <w:sz w:val="32"/>
      <w:szCs w:val="32"/>
    </w:rPr>
  </w:style>
  <w:style w:type="paragraph" w:styleId="872">
    <w:name w:val="Heading 4"/>
    <w:basedOn w:val="868"/>
    <w:next w:val="868"/>
    <w:link w:val="1018"/>
    <w:uiPriority w:val="9"/>
    <w:qFormat/>
    <w:pPr>
      <w:keepLines/>
      <w:keepNext/>
      <w:spacing w:before="280" w:after="290" w:line="376" w:lineRule="auto"/>
      <w:outlineLvl w:val="3"/>
    </w:pPr>
    <w:rPr>
      <w:rFonts w:ascii="Calibri Light" w:hAnsi="Calibri Light" w:eastAsia="宋体"/>
      <w:b/>
      <w:bCs/>
      <w:sz w:val="28"/>
      <w:szCs w:val="28"/>
    </w:rPr>
  </w:style>
  <w:style w:type="paragraph" w:styleId="873">
    <w:name w:val="Heading 5"/>
    <w:basedOn w:val="868"/>
    <w:next w:val="880"/>
    <w:link w:val="1011"/>
    <w:uiPriority w:val="9"/>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874">
    <w:name w:val="Heading 6"/>
    <w:basedOn w:val="868"/>
    <w:next w:val="880"/>
    <w:link w:val="1016"/>
    <w:uiPriority w:val="9"/>
    <w:qFormat/>
    <w:pPr>
      <w:numPr>
        <w:ilvl w:val="5"/>
        <w:numId w:val="1"/>
      </w:numPr>
      <w:keepLines/>
      <w:keepNext/>
      <w:spacing w:before="240" w:after="64" w:line="320" w:lineRule="auto"/>
      <w:outlineLvl w:val="5"/>
    </w:pPr>
    <w:rPr>
      <w:rFonts w:ascii="Arial" w:hAnsi="Arial" w:eastAsia="黑体"/>
      <w:b/>
      <w:sz w:val="24"/>
    </w:rPr>
  </w:style>
  <w:style w:type="paragraph" w:styleId="875">
    <w:name w:val="Heading 7"/>
    <w:basedOn w:val="868"/>
    <w:next w:val="880"/>
    <w:link w:val="1017"/>
    <w:uiPriority w:val="0"/>
    <w:qFormat/>
    <w:pPr>
      <w:numPr>
        <w:ilvl w:val="6"/>
        <w:numId w:val="1"/>
      </w:numPr>
      <w:keepLines/>
      <w:keepNext/>
      <w:spacing w:before="240" w:after="64" w:line="320" w:lineRule="auto"/>
      <w:outlineLvl w:val="6"/>
    </w:pPr>
    <w:rPr>
      <w:rFonts w:eastAsia="宋体"/>
      <w:b/>
      <w:sz w:val="24"/>
    </w:rPr>
  </w:style>
  <w:style w:type="paragraph" w:styleId="876">
    <w:name w:val="Heading 8"/>
    <w:basedOn w:val="868"/>
    <w:next w:val="880"/>
    <w:link w:val="1038"/>
    <w:uiPriority w:val="0"/>
    <w:qFormat/>
    <w:pPr>
      <w:numPr>
        <w:ilvl w:val="7"/>
        <w:numId w:val="1"/>
      </w:numPr>
      <w:keepLines/>
      <w:keepNext/>
      <w:spacing w:before="240" w:after="64" w:line="320" w:lineRule="auto"/>
      <w:outlineLvl w:val="7"/>
    </w:pPr>
    <w:rPr>
      <w:rFonts w:ascii="Arial" w:hAnsi="Arial" w:eastAsia="黑体"/>
      <w:sz w:val="24"/>
    </w:rPr>
  </w:style>
  <w:style w:type="paragraph" w:styleId="877">
    <w:name w:val="Heading 9"/>
    <w:basedOn w:val="868"/>
    <w:next w:val="880"/>
    <w:link w:val="1009"/>
    <w:uiPriority w:val="0"/>
    <w:qFormat/>
    <w:pPr>
      <w:numPr>
        <w:ilvl w:val="8"/>
        <w:numId w:val="1"/>
      </w:numPr>
      <w:keepLines/>
      <w:keepNext/>
      <w:spacing w:before="240" w:after="64" w:line="320" w:lineRule="auto"/>
      <w:outlineLvl w:val="8"/>
    </w:pPr>
    <w:rPr>
      <w:rFonts w:ascii="Arial" w:hAnsi="Arial" w:eastAsia="黑体"/>
      <w:sz w:val="21"/>
    </w:rPr>
  </w:style>
  <w:style w:type="character" w:styleId="878" w:default="1">
    <w:name w:val="Default Paragraph Font"/>
    <w:uiPriority w:val="1"/>
    <w:semiHidden/>
    <w:unhideWhenUsed/>
  </w:style>
  <w:style w:type="table" w:styleId="879" w:default="1">
    <w:name w:val="Normal Table"/>
    <w:uiPriority w:val="99"/>
    <w:semiHidden/>
    <w:unhideWhenUsed/>
    <w:tblPr>
      <w:tblCellMar>
        <w:left w:w="108" w:type="dxa"/>
        <w:top w:w="0" w:type="dxa"/>
        <w:right w:w="108" w:type="dxa"/>
        <w:bottom w:w="0" w:type="dxa"/>
      </w:tblCellMar>
    </w:tblPr>
  </w:style>
  <w:style w:type="paragraph" w:styleId="880">
    <w:name w:val="Normal Indent"/>
    <w:basedOn w:val="868"/>
    <w:link w:val="976"/>
    <w:uiPriority w:val="0"/>
    <w:qFormat/>
    <w:pPr>
      <w:ind w:firstLine="420"/>
      <w:jc w:val="left"/>
    </w:pPr>
    <w:rPr>
      <w:rFonts w:eastAsia="宋体"/>
      <w:sz w:val="24"/>
    </w:rPr>
  </w:style>
  <w:style w:type="paragraph" w:styleId="881">
    <w:name w:val="toc 7"/>
    <w:basedOn w:val="868"/>
    <w:next w:val="868"/>
    <w:uiPriority w:val="0"/>
    <w:qFormat/>
    <w:pPr>
      <w:ind w:left="2520"/>
    </w:pPr>
    <w:rPr>
      <w:rFonts w:eastAsia="宋体"/>
    </w:rPr>
  </w:style>
  <w:style w:type="paragraph" w:styleId="882">
    <w:name w:val="index 8"/>
    <w:basedOn w:val="868"/>
    <w:next w:val="868"/>
    <w:uiPriority w:val="0"/>
    <w:qFormat/>
    <w:pPr>
      <w:ind w:left="2940"/>
    </w:pPr>
    <w:rPr>
      <w:rFonts w:eastAsia="宋体"/>
    </w:rPr>
  </w:style>
  <w:style w:type="paragraph" w:styleId="883">
    <w:name w:val="List Number"/>
    <w:basedOn w:val="868"/>
    <w:uiPriority w:val="0"/>
    <w:qFormat/>
    <w:pPr>
      <w:ind w:left="1125" w:hanging="555"/>
      <w:tabs>
        <w:tab w:val="left" w:pos="1125" w:leader="none"/>
      </w:tabs>
    </w:pPr>
    <w:rPr>
      <w:rFonts w:eastAsia="宋体"/>
      <w:sz w:val="21"/>
      <w:szCs w:val="24"/>
    </w:rPr>
  </w:style>
  <w:style w:type="paragraph" w:styleId="884">
    <w:name w:val="Caption"/>
    <w:basedOn w:val="868"/>
    <w:next w:val="868"/>
    <w:uiPriority w:val="0"/>
    <w:qFormat/>
    <w:rPr>
      <w:rFonts w:ascii="Cambria" w:hAnsi="Cambria" w:eastAsia="黑体"/>
      <w:sz w:val="20"/>
    </w:rPr>
  </w:style>
  <w:style w:type="paragraph" w:styleId="885">
    <w:name w:val="index 5"/>
    <w:basedOn w:val="868"/>
    <w:next w:val="868"/>
    <w:uiPriority w:val="0"/>
    <w:qFormat/>
    <w:pPr>
      <w:ind w:left="1680"/>
    </w:pPr>
    <w:rPr>
      <w:rFonts w:eastAsia="宋体"/>
    </w:rPr>
  </w:style>
  <w:style w:type="paragraph" w:styleId="886">
    <w:name w:val="Document Map"/>
    <w:basedOn w:val="868"/>
    <w:link w:val="1029"/>
    <w:uiPriority w:val="0"/>
    <w:qFormat/>
    <w:pPr>
      <w:shd w:val="clear" w:color="auto" w:fill="000080"/>
    </w:pPr>
    <w:rPr>
      <w:rFonts w:ascii="宋体" w:hAnsi="宋体" w:eastAsia="宋体"/>
      <w:sz w:val="24"/>
      <w:szCs w:val="24"/>
    </w:rPr>
  </w:style>
  <w:style w:type="paragraph" w:styleId="887">
    <w:name w:val="annotation text"/>
    <w:basedOn w:val="868"/>
    <w:link w:val="1005"/>
    <w:uiPriority w:val="0"/>
    <w:qFormat/>
    <w:pPr>
      <w:jc w:val="left"/>
    </w:pPr>
    <w:rPr>
      <w:rFonts w:eastAsia="宋体"/>
    </w:rPr>
  </w:style>
  <w:style w:type="paragraph" w:styleId="888">
    <w:name w:val="index 6"/>
    <w:basedOn w:val="868"/>
    <w:next w:val="868"/>
    <w:uiPriority w:val="0"/>
    <w:qFormat/>
    <w:pPr>
      <w:ind w:left="2100"/>
    </w:pPr>
    <w:rPr>
      <w:rFonts w:eastAsia="宋体"/>
    </w:rPr>
  </w:style>
  <w:style w:type="paragraph" w:styleId="889">
    <w:name w:val="Body Text 3"/>
    <w:basedOn w:val="868"/>
    <w:link w:val="995"/>
    <w:uiPriority w:val="0"/>
    <w:qFormat/>
    <w:pPr>
      <w:jc w:val="center"/>
    </w:pPr>
    <w:rPr>
      <w:rFonts w:ascii="宋体" w:hAnsi="宋体" w:eastAsia="宋体"/>
    </w:rPr>
  </w:style>
  <w:style w:type="paragraph" w:styleId="890">
    <w:name w:val="Body Text"/>
    <w:basedOn w:val="868"/>
    <w:link w:val="994"/>
    <w:uiPriority w:val="0"/>
    <w:qFormat/>
    <w:rPr>
      <w:rFonts w:ascii="楷体_GB2312"/>
      <w:b/>
      <w:bCs/>
      <w:sz w:val="28"/>
    </w:rPr>
  </w:style>
  <w:style w:type="paragraph" w:styleId="891">
    <w:name w:val="Body Text Indent"/>
    <w:basedOn w:val="868"/>
    <w:link w:val="1023"/>
    <w:uiPriority w:val="0"/>
    <w:qFormat/>
    <w:pPr>
      <w:ind w:firstLine="570"/>
    </w:pPr>
    <w:rPr>
      <w:rFonts w:ascii="宋体" w:eastAsia="宋体"/>
      <w:sz w:val="28"/>
    </w:rPr>
  </w:style>
  <w:style w:type="paragraph" w:styleId="892">
    <w:name w:val="List Continue"/>
    <w:basedOn w:val="868"/>
    <w:uiPriority w:val="0"/>
    <w:qFormat/>
    <w:pPr>
      <w:ind w:left="420"/>
      <w:spacing w:after="120"/>
    </w:pPr>
    <w:rPr>
      <w:rFonts w:eastAsia="宋体"/>
    </w:rPr>
  </w:style>
  <w:style w:type="paragraph" w:styleId="893">
    <w:name w:val="Block Text"/>
    <w:basedOn w:val="868"/>
    <w:uiPriority w:val="0"/>
    <w:qFormat/>
    <w:pPr>
      <w:ind w:left="630" w:right="-609" w:firstLine="420"/>
      <w:spacing w:line="360" w:lineRule="auto"/>
    </w:pPr>
    <w:rPr>
      <w:rFonts w:hint="eastAsia" w:ascii="仿宋_GB2312" w:eastAsia="仿宋_GB2312"/>
      <w:sz w:val="21"/>
    </w:rPr>
  </w:style>
  <w:style w:type="paragraph" w:styleId="894">
    <w:name w:val="index 4"/>
    <w:basedOn w:val="868"/>
    <w:next w:val="868"/>
    <w:uiPriority w:val="0"/>
    <w:qFormat/>
    <w:pPr>
      <w:ind w:left="1260"/>
    </w:pPr>
    <w:rPr>
      <w:rFonts w:eastAsia="宋体"/>
    </w:rPr>
  </w:style>
  <w:style w:type="paragraph" w:styleId="895">
    <w:name w:val="toc 5"/>
    <w:basedOn w:val="868"/>
    <w:next w:val="868"/>
    <w:uiPriority w:val="0"/>
    <w:qFormat/>
    <w:pPr>
      <w:ind w:left="1680"/>
    </w:pPr>
    <w:rPr>
      <w:rFonts w:eastAsia="宋体"/>
    </w:rPr>
  </w:style>
  <w:style w:type="paragraph" w:styleId="896">
    <w:name w:val="toc 3"/>
    <w:basedOn w:val="868"/>
    <w:next w:val="868"/>
    <w:uiPriority w:val="39"/>
    <w:qFormat/>
    <w:pPr>
      <w:ind w:left="840"/>
    </w:pPr>
    <w:rPr>
      <w:rFonts w:eastAsia="宋体"/>
    </w:rPr>
  </w:style>
  <w:style w:type="paragraph" w:styleId="897">
    <w:name w:val="Plain Text"/>
    <w:basedOn w:val="868"/>
    <w:link w:val="985"/>
    <w:uiPriority w:val="99"/>
    <w:qFormat/>
    <w:rPr>
      <w:rFonts w:ascii="宋体" w:hAnsi="Courier New" w:eastAsia="宋体"/>
    </w:rPr>
  </w:style>
  <w:style w:type="paragraph" w:styleId="898">
    <w:name w:val="toc 8"/>
    <w:basedOn w:val="868"/>
    <w:next w:val="868"/>
    <w:uiPriority w:val="0"/>
    <w:qFormat/>
    <w:pPr>
      <w:ind w:left="2940"/>
    </w:pPr>
    <w:rPr>
      <w:rFonts w:eastAsia="宋体"/>
    </w:rPr>
  </w:style>
  <w:style w:type="paragraph" w:styleId="899">
    <w:name w:val="index 3"/>
    <w:basedOn w:val="868"/>
    <w:next w:val="868"/>
    <w:uiPriority w:val="0"/>
    <w:qFormat/>
    <w:pPr>
      <w:ind w:left="840"/>
    </w:pPr>
    <w:rPr>
      <w:rFonts w:eastAsia="宋体"/>
    </w:rPr>
  </w:style>
  <w:style w:type="paragraph" w:styleId="900">
    <w:name w:val="Date"/>
    <w:basedOn w:val="868"/>
    <w:next w:val="868"/>
    <w:link w:val="943"/>
    <w:uiPriority w:val="0"/>
    <w:qFormat/>
    <w:rPr>
      <w:rFonts w:ascii="宋体" w:hAnsi="宋体" w:eastAsia="宋体"/>
      <w:sz w:val="24"/>
    </w:rPr>
  </w:style>
  <w:style w:type="paragraph" w:styleId="901">
    <w:name w:val="Body Text Indent 2"/>
    <w:basedOn w:val="868"/>
    <w:link w:val="984"/>
    <w:uiPriority w:val="0"/>
    <w:qFormat/>
    <w:pPr>
      <w:ind w:left="420"/>
      <w:spacing w:after="120" w:line="480" w:lineRule="auto"/>
    </w:pPr>
    <w:rPr>
      <w:rFonts w:eastAsia="宋体"/>
    </w:rPr>
  </w:style>
  <w:style w:type="paragraph" w:styleId="902">
    <w:name w:val="endnote text"/>
    <w:basedOn w:val="868"/>
    <w:link w:val="1032"/>
    <w:uiPriority w:val="0"/>
    <w:qFormat/>
    <w:pPr>
      <w:jc w:val="left"/>
    </w:pPr>
    <w:rPr>
      <w:rFonts w:eastAsia="宋体"/>
    </w:rPr>
  </w:style>
  <w:style w:type="paragraph" w:styleId="903">
    <w:name w:val="Balloon Text"/>
    <w:basedOn w:val="868"/>
    <w:link w:val="1012"/>
    <w:uiPriority w:val="0"/>
    <w:qFormat/>
    <w:rPr>
      <w:rFonts w:eastAsia="宋体"/>
      <w:sz w:val="18"/>
      <w:szCs w:val="18"/>
    </w:rPr>
  </w:style>
  <w:style w:type="paragraph" w:styleId="904">
    <w:name w:val="Footer"/>
    <w:basedOn w:val="868"/>
    <w:link w:val="953"/>
    <w:uiPriority w:val="99"/>
    <w:qFormat/>
    <w:pPr>
      <w:jc w:val="left"/>
      <w:tabs>
        <w:tab w:val="center" w:pos="4153" w:leader="none"/>
        <w:tab w:val="right" w:pos="8306" w:leader="none"/>
      </w:tabs>
    </w:pPr>
    <w:rPr>
      <w:rFonts w:eastAsia="宋体"/>
      <w:sz w:val="18"/>
    </w:rPr>
  </w:style>
  <w:style w:type="paragraph" w:styleId="905">
    <w:name w:val="Header"/>
    <w:basedOn w:val="868"/>
    <w:link w:val="948"/>
    <w:uiPriority w:val="99"/>
    <w:qFormat/>
    <w:pPr>
      <w:jc w:val="center"/>
      <w:tabs>
        <w:tab w:val="center" w:pos="4153" w:leader="none"/>
        <w:tab w:val="right" w:pos="8306" w:leader="none"/>
      </w:tabs>
      <w:pBdr>
        <w:bottom w:val="single" w:color="auto" w:sz="6" w:space="1"/>
      </w:pBdr>
    </w:pPr>
    <w:rPr>
      <w:rFonts w:eastAsia="宋体"/>
      <w:sz w:val="18"/>
    </w:rPr>
  </w:style>
  <w:style w:type="paragraph" w:styleId="906">
    <w:name w:val="toc 1"/>
    <w:basedOn w:val="868"/>
    <w:next w:val="868"/>
    <w:uiPriority w:val="39"/>
    <w:qFormat/>
    <w:pPr>
      <w:jc w:val="left"/>
    </w:pPr>
    <w:rPr>
      <w:rFonts w:eastAsia="宋体"/>
      <w:sz w:val="24"/>
    </w:rPr>
  </w:style>
  <w:style w:type="paragraph" w:styleId="907">
    <w:name w:val="toc 4"/>
    <w:basedOn w:val="868"/>
    <w:next w:val="868"/>
    <w:uiPriority w:val="0"/>
    <w:qFormat/>
    <w:pPr>
      <w:ind w:left="1260"/>
    </w:pPr>
    <w:rPr>
      <w:rFonts w:eastAsia="宋体"/>
    </w:rPr>
  </w:style>
  <w:style w:type="paragraph" w:styleId="908">
    <w:name w:val="index heading"/>
    <w:basedOn w:val="868"/>
    <w:next w:val="909"/>
    <w:uiPriority w:val="0"/>
    <w:qFormat/>
    <w:rPr>
      <w:rFonts w:eastAsia="宋体"/>
    </w:rPr>
  </w:style>
  <w:style w:type="paragraph" w:styleId="909">
    <w:name w:val="index 1"/>
    <w:basedOn w:val="868"/>
    <w:next w:val="868"/>
    <w:uiPriority w:val="0"/>
    <w:qFormat/>
    <w:rPr>
      <w:rFonts w:eastAsia="宋体"/>
      <w:sz w:val="28"/>
    </w:rPr>
  </w:style>
  <w:style w:type="paragraph" w:styleId="910">
    <w:name w:val="Subtitle"/>
    <w:basedOn w:val="868"/>
    <w:link w:val="987"/>
    <w:uiPriority w:val="11"/>
    <w:qFormat/>
    <w:pPr>
      <w:jc w:val="center"/>
      <w:spacing w:before="240" w:after="60" w:line="312" w:lineRule="auto"/>
      <w:outlineLvl w:val="1"/>
    </w:pPr>
    <w:rPr>
      <w:rFonts w:ascii="Arial" w:hAnsi="Arial" w:eastAsia="宋体" w:cs="Arial"/>
      <w:b/>
      <w:bCs/>
      <w:sz w:val="32"/>
      <w:szCs w:val="32"/>
    </w:rPr>
  </w:style>
  <w:style w:type="paragraph" w:styleId="911">
    <w:name w:val="List"/>
    <w:basedOn w:val="868"/>
    <w:uiPriority w:val="99"/>
    <w:qFormat/>
    <w:pPr>
      <w:contextualSpacing/>
      <w:ind w:left="200" w:hanging="200"/>
    </w:pPr>
  </w:style>
  <w:style w:type="paragraph" w:styleId="912">
    <w:name w:val="footnote text"/>
    <w:basedOn w:val="868"/>
    <w:link w:val="999"/>
    <w:uiPriority w:val="0"/>
    <w:qFormat/>
    <w:pPr>
      <w:jc w:val="left"/>
    </w:pPr>
    <w:rPr>
      <w:rFonts w:eastAsia="宋体"/>
      <w:sz w:val="18"/>
    </w:rPr>
  </w:style>
  <w:style w:type="paragraph" w:styleId="913">
    <w:name w:val="toc 6"/>
    <w:basedOn w:val="868"/>
    <w:next w:val="868"/>
    <w:uiPriority w:val="0"/>
    <w:qFormat/>
    <w:pPr>
      <w:ind w:left="2100"/>
    </w:pPr>
    <w:rPr>
      <w:rFonts w:eastAsia="宋体"/>
    </w:rPr>
  </w:style>
  <w:style w:type="paragraph" w:styleId="914">
    <w:name w:val="Body Text Indent 3"/>
    <w:basedOn w:val="868"/>
    <w:link w:val="975"/>
    <w:uiPriority w:val="0"/>
    <w:qFormat/>
    <w:pPr>
      <w:ind w:firstLine="480"/>
      <w:spacing w:line="400" w:lineRule="exact"/>
    </w:pPr>
    <w:rPr>
      <w:rFonts w:eastAsia="宋体"/>
      <w:sz w:val="24"/>
      <w:szCs w:val="24"/>
    </w:rPr>
  </w:style>
  <w:style w:type="paragraph" w:styleId="915">
    <w:name w:val="index 7"/>
    <w:basedOn w:val="868"/>
    <w:next w:val="868"/>
    <w:uiPriority w:val="0"/>
    <w:qFormat/>
    <w:pPr>
      <w:ind w:left="2520"/>
    </w:pPr>
    <w:rPr>
      <w:rFonts w:eastAsia="宋体"/>
    </w:rPr>
  </w:style>
  <w:style w:type="paragraph" w:styleId="916">
    <w:name w:val="index 9"/>
    <w:basedOn w:val="868"/>
    <w:next w:val="868"/>
    <w:uiPriority w:val="0"/>
    <w:qFormat/>
    <w:pPr>
      <w:ind w:left="3360"/>
    </w:pPr>
    <w:rPr>
      <w:rFonts w:eastAsia="宋体"/>
    </w:rPr>
  </w:style>
  <w:style w:type="paragraph" w:styleId="917">
    <w:name w:val="table of figures"/>
    <w:basedOn w:val="868"/>
    <w:next w:val="868"/>
    <w:uiPriority w:val="0"/>
    <w:qFormat/>
    <w:pPr>
      <w:ind w:left="420" w:hanging="420"/>
      <w:jc w:val="left"/>
    </w:pPr>
    <w:rPr>
      <w:rFonts w:eastAsia="宋体"/>
      <w:smallCaps/>
      <w:sz w:val="24"/>
    </w:rPr>
  </w:style>
  <w:style w:type="paragraph" w:styleId="918">
    <w:name w:val="toc 2"/>
    <w:basedOn w:val="868"/>
    <w:next w:val="868"/>
    <w:uiPriority w:val="39"/>
    <w:qFormat/>
    <w:pPr>
      <w:ind w:left="420"/>
    </w:pPr>
    <w:rPr>
      <w:rFonts w:eastAsia="宋体"/>
    </w:rPr>
  </w:style>
  <w:style w:type="paragraph" w:styleId="919">
    <w:name w:val="toc 9"/>
    <w:basedOn w:val="868"/>
    <w:next w:val="868"/>
    <w:uiPriority w:val="0"/>
    <w:qFormat/>
    <w:pPr>
      <w:ind w:left="3360"/>
    </w:pPr>
    <w:rPr>
      <w:rFonts w:eastAsia="宋体"/>
    </w:rPr>
  </w:style>
  <w:style w:type="paragraph" w:styleId="920">
    <w:name w:val="Body Text 2"/>
    <w:basedOn w:val="868"/>
    <w:link w:val="1022"/>
    <w:uiPriority w:val="0"/>
    <w:qFormat/>
    <w:pPr>
      <w:spacing w:after="120" w:line="480" w:lineRule="auto"/>
    </w:pPr>
    <w:rPr>
      <w:rFonts w:eastAsia="宋体"/>
    </w:rPr>
  </w:style>
  <w:style w:type="paragraph" w:styleId="921">
    <w:name w:val="HTML Preformatted"/>
    <w:basedOn w:val="868"/>
    <w:link w:val="10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22">
    <w:name w:val="Normal (Web)"/>
    <w:basedOn w:val="868"/>
    <w:uiPriority w:val="99"/>
    <w:qFormat/>
    <w:pPr>
      <w:jc w:val="left"/>
      <w:spacing w:before="100" w:beforeAutospacing="1" w:after="100" w:afterAutospacing="1"/>
      <w:widowControl/>
    </w:pPr>
    <w:rPr>
      <w:rFonts w:ascii="宋体" w:hAnsi="宋体" w:eastAsia="宋体" w:cs="宋体"/>
      <w:sz w:val="24"/>
    </w:rPr>
  </w:style>
  <w:style w:type="paragraph" w:styleId="923">
    <w:name w:val="index 2"/>
    <w:basedOn w:val="868"/>
    <w:next w:val="868"/>
    <w:uiPriority w:val="0"/>
    <w:qFormat/>
    <w:pPr>
      <w:ind w:left="420"/>
    </w:pPr>
    <w:rPr>
      <w:rFonts w:eastAsia="宋体"/>
    </w:rPr>
  </w:style>
  <w:style w:type="paragraph" w:styleId="924">
    <w:name w:val="Title"/>
    <w:basedOn w:val="868"/>
    <w:next w:val="868"/>
    <w:link w:val="977"/>
    <w:uiPriority w:val="10"/>
    <w:qFormat/>
    <w:pPr>
      <w:jc w:val="center"/>
      <w:spacing w:before="240" w:after="60"/>
      <w:outlineLvl w:val="0"/>
    </w:pPr>
    <w:rPr>
      <w:rFonts w:ascii="Calibri Light" w:hAnsi="Calibri Light" w:eastAsia="宋体"/>
      <w:b/>
      <w:bCs/>
      <w:sz w:val="32"/>
      <w:szCs w:val="32"/>
    </w:rPr>
  </w:style>
  <w:style w:type="paragraph" w:styleId="925">
    <w:name w:val="annotation subject"/>
    <w:basedOn w:val="887"/>
    <w:next w:val="887"/>
    <w:link w:val="1003"/>
    <w:uiPriority w:val="0"/>
    <w:qFormat/>
    <w:rPr>
      <w:b/>
      <w:bCs/>
    </w:rPr>
  </w:style>
  <w:style w:type="paragraph" w:styleId="926">
    <w:name w:val="Body Text First Indent"/>
    <w:basedOn w:val="890"/>
    <w:link w:val="988"/>
    <w:uiPriority w:val="0"/>
    <w:qFormat/>
    <w:pPr>
      <w:ind w:firstLine="420"/>
      <w:spacing w:after="120"/>
    </w:pPr>
    <w:rPr>
      <w:rFonts w:ascii="Times New Roman" w:eastAsia="宋体"/>
      <w:b w:val="0"/>
      <w:bCs w:val="0"/>
      <w:sz w:val="26"/>
    </w:rPr>
  </w:style>
  <w:style w:type="paragraph" w:styleId="927">
    <w:name w:val="Body Text First Indent 2"/>
    <w:basedOn w:val="891"/>
    <w:link w:val="1154"/>
    <w:uiPriority w:val="99"/>
    <w:qFormat/>
    <w:pPr>
      <w:ind w:left="420" w:firstLine="420"/>
      <w:spacing w:after="120"/>
    </w:pPr>
    <w:rPr>
      <w:rFonts w:ascii="Times New Roman" w:eastAsia="楷体_GB2312"/>
      <w:sz w:val="26"/>
    </w:rPr>
  </w:style>
  <w:style w:type="table" w:styleId="928">
    <w:name w:val="Table Grid"/>
    <w:basedOn w:val="87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9">
    <w:name w:val="Table Theme"/>
    <w:basedOn w:val="8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uiPriority w:val="0"/>
    <w:qFormat/>
    <w:rPr>
      <w:rFonts w:ascii="Times New Roman" w:hAnsi="Times New Roman" w:eastAsia="宋体" w:cs="Times New Roman"/>
      <w:b/>
      <w:bCs/>
    </w:rPr>
  </w:style>
  <w:style w:type="character" w:styleId="931">
    <w:name w:val="endnote reference"/>
    <w:uiPriority w:val="0"/>
    <w:qFormat/>
    <w:rPr>
      <w:rFonts w:ascii="Times New Roman" w:hAnsi="Times New Roman" w:eastAsia="宋体" w:cs="Times New Roman"/>
      <w:vertAlign w:val="superscript"/>
    </w:rPr>
  </w:style>
  <w:style w:type="character" w:styleId="932">
    <w:name w:val="page number"/>
    <w:uiPriority w:val="0"/>
    <w:qFormat/>
    <w:rPr>
      <w:rFonts w:ascii="Times New Roman" w:hAnsi="Times New Roman" w:eastAsia="宋体" w:cs="Times New Roman"/>
    </w:rPr>
  </w:style>
  <w:style w:type="character" w:styleId="933">
    <w:name w:val="FollowedHyperlink"/>
    <w:uiPriority w:val="99"/>
    <w:qFormat/>
    <w:rPr>
      <w:rFonts w:ascii="Times New Roman" w:hAnsi="Times New Roman" w:eastAsia="宋体" w:cs="Times New Roman"/>
      <w:color w:val="954f72"/>
      <w:u w:val="single"/>
    </w:rPr>
  </w:style>
  <w:style w:type="character" w:styleId="934">
    <w:name w:val="Emphasis"/>
    <w:uiPriority w:val="20"/>
    <w:qFormat/>
    <w:rPr>
      <w:rFonts w:ascii="Times New Roman" w:hAnsi="Times New Roman" w:eastAsia="宋体" w:cs="Times New Roman"/>
      <w:i/>
      <w:iCs/>
    </w:rPr>
  </w:style>
  <w:style w:type="character" w:styleId="935">
    <w:name w:val="Hyperlink"/>
    <w:uiPriority w:val="99"/>
    <w:qFormat/>
    <w:rPr>
      <w:rFonts w:ascii="Times New Roman" w:hAnsi="Times New Roman" w:eastAsia="宋体" w:cs="Times New Roman"/>
      <w:color w:val="0000ff"/>
      <w:u w:val="single"/>
    </w:rPr>
  </w:style>
  <w:style w:type="character" w:styleId="936">
    <w:name w:val="annotation reference"/>
    <w:uiPriority w:val="0"/>
    <w:qFormat/>
    <w:rPr>
      <w:rFonts w:ascii="Times New Roman" w:hAnsi="Times New Roman" w:eastAsia="宋体" w:cs="Times New Roman"/>
      <w:sz w:val="21"/>
      <w:szCs w:val="21"/>
    </w:rPr>
  </w:style>
  <w:style w:type="character" w:styleId="937">
    <w:name w:val="footnote reference"/>
    <w:uiPriority w:val="0"/>
    <w:qFormat/>
    <w:rPr>
      <w:rFonts w:ascii="Times New Roman" w:hAnsi="Times New Roman" w:eastAsia="宋体" w:cs="Times New Roman"/>
      <w:vertAlign w:val="superscript"/>
    </w:rPr>
  </w:style>
  <w:style w:type="character" w:styleId="938" w:customStyle="1">
    <w:name w:val="font31"/>
    <w:uiPriority w:val="0"/>
    <w:qFormat/>
    <w:rPr>
      <w:rFonts w:hint="eastAsia" w:ascii="仿宋_GB2312" w:hAnsi="Times New Roman" w:eastAsia="仿宋_GB2312" w:cs="仿宋_GB2312"/>
      <w:color w:val="000000"/>
      <w:sz w:val="22"/>
      <w:szCs w:val="22"/>
      <w:u w:val="none"/>
    </w:rPr>
  </w:style>
  <w:style w:type="character" w:styleId="939" w:customStyle="1">
    <w:name w:val="彩色网格 - 着色 1 Char"/>
    <w:link w:val="940"/>
    <w:uiPriority w:val="0"/>
    <w:qFormat/>
    <w:rPr>
      <w:rFonts w:ascii="Times New Roman" w:hAnsi="Times New Roman" w:eastAsia="宋体" w:cs="Times New Roman"/>
      <w:i/>
      <w:iCs/>
      <w:color w:val="000000"/>
      <w:sz w:val="21"/>
      <w:szCs w:val="22"/>
    </w:rPr>
  </w:style>
  <w:style w:type="paragraph" w:styleId="940" w:customStyle="1">
    <w:name w:val="彩色网格 - 着色 11"/>
    <w:basedOn w:val="868"/>
    <w:next w:val="868"/>
    <w:link w:val="939"/>
    <w:uiPriority w:val="0"/>
    <w:qFormat/>
    <w:rPr>
      <w:rFonts w:eastAsia="宋体"/>
      <w:i/>
      <w:iCs/>
      <w:color w:val="000000"/>
      <w:sz w:val="21"/>
      <w:szCs w:val="22"/>
    </w:rPr>
  </w:style>
  <w:style w:type="character" w:styleId="941" w:customStyle="1">
    <w:name w:val="标题 Char1"/>
    <w:uiPriority w:val="0"/>
    <w:qFormat/>
    <w:rPr>
      <w:rFonts w:ascii="Cambria" w:hAnsi="Cambria" w:eastAsia="宋体" w:cs="Times New Roman"/>
      <w:b/>
      <w:bCs/>
      <w:sz w:val="32"/>
      <w:szCs w:val="32"/>
    </w:rPr>
  </w:style>
  <w:style w:type="character" w:styleId="942" w:customStyle="1">
    <w:name w:val="font71"/>
    <w:uiPriority w:val="0"/>
    <w:qFormat/>
    <w:rPr>
      <w:rFonts w:hint="default" w:ascii="Times New Roman" w:hAnsi="Times New Roman" w:eastAsia="宋体" w:cs="Times New Roman"/>
      <w:color w:val="ff0000"/>
      <w:sz w:val="22"/>
      <w:szCs w:val="22"/>
      <w:u w:val="none"/>
    </w:rPr>
  </w:style>
  <w:style w:type="character" w:styleId="943" w:customStyle="1">
    <w:name w:val="日期 Char"/>
    <w:link w:val="900"/>
    <w:uiPriority w:val="0"/>
    <w:qFormat/>
    <w:rPr>
      <w:rFonts w:ascii="宋体" w:hAnsi="宋体" w:eastAsia="楷体_GB2312" w:cs="Times New Roman"/>
      <w:sz w:val="24"/>
    </w:rPr>
  </w:style>
  <w:style w:type="character" w:styleId="944" w:customStyle="1">
    <w:name w:val="textcontents"/>
    <w:uiPriority w:val="0"/>
    <w:qFormat/>
    <w:rPr>
      <w:rFonts w:ascii="Times New Roman" w:hAnsi="Times New Roman" w:eastAsia="宋体" w:cs="Times New Roman"/>
    </w:rPr>
  </w:style>
  <w:style w:type="character" w:styleId="945" w:customStyle="1">
    <w:name w:val="Char Char3"/>
    <w:uiPriority w:val="0"/>
    <w:qFormat/>
    <w:rPr>
      <w:rFonts w:ascii="宋体" w:hAnsi="宋体" w:eastAsia="楷体_GB2312" w:cs="Times New Roman"/>
      <w:sz w:val="24"/>
      <w:lang w:val="en-US" w:eastAsia="zh-CN" w:bidi="ar-SA"/>
    </w:rPr>
  </w:style>
  <w:style w:type="character" w:styleId="946" w:customStyle="1">
    <w:name w:val="日期 Char1"/>
    <w:uiPriority w:val="0"/>
    <w:qFormat/>
    <w:rPr>
      <w:rFonts w:ascii="Times New Roman" w:hAnsi="Times New Roman" w:eastAsia="宋体" w:cs="Times New Roman"/>
      <w:sz w:val="21"/>
      <w:szCs w:val="22"/>
    </w:rPr>
  </w:style>
  <w:style w:type="character" w:styleId="947" w:customStyle="1">
    <w:name w:val="页脚 Char1"/>
    <w:uiPriority w:val="0"/>
    <w:qFormat/>
    <w:rPr>
      <w:rFonts w:ascii="Times New Roman" w:hAnsi="Times New Roman" w:eastAsia="宋体" w:cs="Times New Roman"/>
      <w:sz w:val="18"/>
      <w:szCs w:val="18"/>
    </w:rPr>
  </w:style>
  <w:style w:type="character" w:styleId="948" w:customStyle="1">
    <w:name w:val="页眉 Char"/>
    <w:link w:val="905"/>
    <w:uiPriority w:val="99"/>
    <w:qFormat/>
    <w:rPr>
      <w:rFonts w:ascii="Times New Roman" w:hAnsi="Times New Roman" w:eastAsia="楷体_GB2312" w:cs="Times New Roman"/>
      <w:sz w:val="18"/>
    </w:rPr>
  </w:style>
  <w:style w:type="character" w:styleId="949" w:customStyle="1">
    <w:name w:val="批注文字 Char Char"/>
    <w:uiPriority w:val="0"/>
    <w:qFormat/>
    <w:rPr>
      <w:rFonts w:ascii="宋体" w:hAnsi="Times New Roman" w:eastAsia="宋体" w:cs="Times New Roman"/>
      <w:sz w:val="28"/>
      <w:szCs w:val="20"/>
    </w:rPr>
  </w:style>
  <w:style w:type="character" w:styleId="950" w:customStyle="1">
    <w:name w:val="blue3"/>
    <w:uiPriority w:val="0"/>
    <w:qFormat/>
    <w:rPr>
      <w:rFonts w:ascii="Times New Roman" w:hAnsi="Times New Roman" w:eastAsia="宋体" w:cs="Times New Roman"/>
      <w:color w:val="0000ff"/>
      <w:u w:val="none"/>
    </w:rPr>
  </w:style>
  <w:style w:type="character" w:styleId="951" w:customStyle="1">
    <w:name w:val="Char Char4"/>
    <w:uiPriority w:val="0"/>
    <w:qFormat/>
    <w:rPr>
      <w:rFonts w:ascii="宋体" w:hAnsi="Courier New" w:eastAsia="楷体_GB2312" w:cs="Times New Roman"/>
      <w:sz w:val="26"/>
      <w:lang w:val="en-US" w:eastAsia="zh-CN" w:bidi="ar-SA"/>
    </w:rPr>
  </w:style>
  <w:style w:type="character" w:styleId="952" w:customStyle="1">
    <w:name w:val="无格式表格 41"/>
    <w:uiPriority w:val="0"/>
    <w:qFormat/>
    <w:rPr>
      <w:rFonts w:ascii="Times New Roman" w:hAnsi="Times New Roman" w:eastAsia="宋体" w:cs="Times New Roman"/>
      <w:b/>
      <w:bCs/>
      <w:i/>
      <w:iCs/>
      <w:color w:val="4f81bd"/>
    </w:rPr>
  </w:style>
  <w:style w:type="character" w:styleId="953" w:customStyle="1">
    <w:name w:val="页脚 Char"/>
    <w:link w:val="904"/>
    <w:uiPriority w:val="99"/>
    <w:qFormat/>
    <w:rPr>
      <w:rFonts w:ascii="Times New Roman" w:hAnsi="Times New Roman" w:eastAsia="楷体_GB2312" w:cs="Times New Roman"/>
      <w:sz w:val="18"/>
    </w:rPr>
  </w:style>
  <w:style w:type="character" w:styleId="954" w:customStyle="1">
    <w:name w:val="明显引用 Char1"/>
    <w:uiPriority w:val="0"/>
    <w:qFormat/>
    <w:rPr>
      <w:rFonts w:ascii="Times New Roman" w:hAnsi="Times New Roman" w:eastAsia="宋体" w:cs="Times New Roman"/>
      <w:b/>
      <w:bCs/>
      <w:i/>
      <w:iCs/>
      <w:color w:val="4f81bd"/>
      <w:sz w:val="21"/>
      <w:szCs w:val="24"/>
    </w:rPr>
  </w:style>
  <w:style w:type="character" w:styleId="955" w:customStyle="1">
    <w:name w:val="Plain Text Char Char"/>
    <w:link w:val="956"/>
    <w:uiPriority w:val="0"/>
    <w:qFormat/>
    <w:rPr>
      <w:rFonts w:ascii="宋体" w:hAnsi="Courier New" w:eastAsia="楷体_GB2312" w:cs="Times New Roman"/>
      <w:sz w:val="26"/>
      <w:lang w:val="en-US" w:eastAsia="zh-CN" w:bidi="ar-SA"/>
    </w:rPr>
  </w:style>
  <w:style w:type="paragraph" w:styleId="956" w:customStyle="1">
    <w:name w:val="纯文本2"/>
    <w:basedOn w:val="868"/>
    <w:link w:val="955"/>
    <w:uiPriority w:val="0"/>
    <w:qFormat/>
    <w:rPr>
      <w:rFonts w:ascii="宋体" w:hAnsi="Courier New" w:eastAsia="宋体"/>
    </w:rPr>
  </w:style>
  <w:style w:type="character" w:styleId="957" w:customStyle="1">
    <w:name w:val="标题 2 Char"/>
    <w:link w:val="870"/>
    <w:uiPriority w:val="0"/>
    <w:qFormat/>
    <w:rPr>
      <w:rFonts w:ascii="Cambria" w:hAnsi="Cambria" w:eastAsia="宋体" w:cs="Times New Roman"/>
      <w:b/>
      <w:bCs/>
      <w:sz w:val="32"/>
      <w:szCs w:val="32"/>
    </w:rPr>
  </w:style>
  <w:style w:type="character" w:styleId="958" w:customStyle="1">
    <w:name w:val="标题 3 Char"/>
    <w:link w:val="871"/>
    <w:uiPriority w:val="0"/>
    <w:qFormat/>
    <w:rPr>
      <w:rFonts w:ascii="Times New Roman" w:hAnsi="Times New Roman" w:eastAsia="楷体_GB2312" w:cs="Times New Roman"/>
      <w:b/>
      <w:bCs/>
      <w:sz w:val="32"/>
      <w:szCs w:val="32"/>
    </w:rPr>
  </w:style>
  <w:style w:type="character" w:styleId="959" w:customStyle="1">
    <w:name w:val="Plain Text Char"/>
    <w:link w:val="960"/>
    <w:uiPriority w:val="0"/>
    <w:qFormat/>
    <w:rPr>
      <w:rFonts w:ascii="宋体" w:hAnsi="Courier New" w:eastAsia="楷体_GB2312" w:cs="Times New Roman"/>
      <w:sz w:val="26"/>
    </w:rPr>
  </w:style>
  <w:style w:type="paragraph" w:styleId="960" w:customStyle="1">
    <w:name w:val="纯文本1"/>
    <w:basedOn w:val="868"/>
    <w:link w:val="959"/>
    <w:uiPriority w:val="0"/>
    <w:qFormat/>
    <w:rPr>
      <w:rFonts w:ascii="宋体" w:hAnsi="Courier New" w:eastAsia="宋体"/>
    </w:rPr>
  </w:style>
  <w:style w:type="character" w:styleId="961" w:customStyle="1">
    <w:name w:val="Plain Text Char1"/>
    <w:uiPriority w:val="0"/>
    <w:qFormat/>
    <w:rPr>
      <w:rFonts w:ascii="宋体" w:hAnsi="Courier New" w:eastAsia="楷体_GB2312" w:cs="Times New Roman"/>
      <w:sz w:val="28"/>
      <w:szCs w:val="28"/>
    </w:rPr>
  </w:style>
  <w:style w:type="character" w:styleId="962" w:customStyle="1">
    <w:name w:val="引用 Char1"/>
    <w:uiPriority w:val="0"/>
    <w:qFormat/>
    <w:rPr>
      <w:rFonts w:ascii="Times New Roman" w:hAnsi="Times New Roman" w:eastAsia="宋体" w:cs="Times New Roman"/>
      <w:i/>
      <w:iCs/>
      <w:color w:val="000000"/>
      <w:sz w:val="21"/>
      <w:szCs w:val="24"/>
    </w:rPr>
  </w:style>
  <w:style w:type="character" w:styleId="963" w:customStyle="1">
    <w:name w:val="表格样式居左 Char"/>
    <w:link w:val="964"/>
    <w:uiPriority w:val="0"/>
    <w:qFormat/>
    <w:rPr>
      <w:rFonts w:ascii="宋体" w:hAnsi="宋体" w:eastAsia="宋体" w:cs="Times New Roman"/>
      <w:bCs/>
      <w:color w:val="ff0000"/>
      <w:sz w:val="21"/>
      <w:szCs w:val="21"/>
      <w:lang w:val="zh-CN"/>
    </w:rPr>
  </w:style>
  <w:style w:type="paragraph" w:styleId="964" w:customStyle="1">
    <w:name w:val="表格样式居左"/>
    <w:link w:val="963"/>
    <w:uiPriority w:val="0"/>
    <w:qFormat/>
    <w:pPr>
      <w:spacing w:line="360" w:lineRule="exact"/>
    </w:pPr>
    <w:rPr>
      <w:rFonts w:ascii="宋体" w:hAnsi="宋体" w:eastAsia="宋体" w:cs="Times New Roman"/>
      <w:bCs/>
      <w:color w:val="ff0000"/>
      <w:sz w:val="21"/>
      <w:szCs w:val="21"/>
      <w:lang w:val="zh-CN" w:eastAsia="zh-CN" w:bidi="ar-SA"/>
    </w:rPr>
  </w:style>
  <w:style w:type="character" w:styleId="965" w:customStyle="1">
    <w:name w:val="apple-converted-space"/>
    <w:uiPriority w:val="0"/>
    <w:qFormat/>
    <w:rPr>
      <w:rFonts w:ascii="Times New Roman" w:hAnsi="Times New Roman" w:eastAsia="宋体" w:cs="Times New Roman"/>
    </w:rPr>
  </w:style>
  <w:style w:type="character" w:styleId="966" w:customStyle="1">
    <w:name w:val="font21"/>
    <w:uiPriority w:val="0"/>
    <w:qFormat/>
    <w:rPr>
      <w:rFonts w:hint="eastAsia" w:ascii="仿宋_GB2312" w:hAnsi="Times New Roman" w:eastAsia="仿宋_GB2312" w:cs="仿宋_GB2312"/>
      <w:color w:val="000000"/>
      <w:sz w:val="22"/>
      <w:szCs w:val="22"/>
      <w:u w:val="none"/>
    </w:rPr>
  </w:style>
  <w:style w:type="character" w:styleId="967" w:customStyle="1">
    <w:name w:val="font11"/>
    <w:uiPriority w:val="0"/>
    <w:qFormat/>
    <w:rPr>
      <w:rFonts w:hint="default" w:ascii="Times New Roman" w:hAnsi="Times New Roman" w:eastAsia="宋体" w:cs="Times New Roman"/>
      <w:color w:val="000000"/>
      <w:sz w:val="22"/>
      <w:szCs w:val="22"/>
      <w:u w:val="none"/>
    </w:rPr>
  </w:style>
  <w:style w:type="character" w:styleId="968" w:customStyle="1">
    <w:name w:val="正文缩进 Char1"/>
    <w:uiPriority w:val="0"/>
    <w:qFormat/>
    <w:rPr>
      <w:rFonts w:eastAsia="楷体_GB2312"/>
      <w:sz w:val="24"/>
    </w:rPr>
  </w:style>
  <w:style w:type="character" w:styleId="969" w:customStyle="1">
    <w:name w:val="批注主题 Char2"/>
    <w:uiPriority w:val="0"/>
    <w:qFormat/>
    <w:rPr>
      <w:rFonts w:ascii="Times New Roman" w:hAnsi="Times New Roman" w:eastAsia="宋体" w:cs="Times New Roman"/>
      <w:b/>
      <w:bCs/>
      <w:sz w:val="21"/>
      <w:szCs w:val="24"/>
    </w:rPr>
  </w:style>
  <w:style w:type="character" w:styleId="970" w:customStyle="1">
    <w:name w:val="font01"/>
    <w:uiPriority w:val="0"/>
    <w:qFormat/>
    <w:rPr>
      <w:rFonts w:hint="default" w:ascii="Times New Roman" w:hAnsi="Times New Roman" w:eastAsia="宋体" w:cs="Times New Roman"/>
      <w:color w:val="000000"/>
      <w:sz w:val="22"/>
      <w:szCs w:val="22"/>
      <w:u w:val="none"/>
    </w:rPr>
  </w:style>
  <w:style w:type="character" w:styleId="971" w:customStyle="1">
    <w:name w:val="HTML 打字机1"/>
    <w:uiPriority w:val="0"/>
    <w:qFormat/>
    <w:rPr>
      <w:rFonts w:hint="eastAsia" w:ascii="黑体" w:hAnsi="Courier New" w:eastAsia="黑体" w:cs="Times New Roman"/>
      <w:sz w:val="14"/>
    </w:rPr>
  </w:style>
  <w:style w:type="character" w:styleId="972" w:customStyle="1">
    <w:name w:val="明显引用 Char2"/>
    <w:uiPriority w:val="0"/>
    <w:qFormat/>
    <w:rPr>
      <w:rFonts w:ascii="Times New Roman" w:hAnsi="Times New Roman" w:eastAsia="楷体_GB2312" w:cs="Times New Roman"/>
      <w:i/>
      <w:iCs/>
      <w:color w:val="5b9bd5"/>
      <w:sz w:val="26"/>
    </w:rPr>
  </w:style>
  <w:style w:type="character" w:styleId="973" w:customStyle="1">
    <w:name w:val="标题5 Char Char"/>
    <w:link w:val="974"/>
    <w:uiPriority w:val="0"/>
    <w:qFormat/>
    <w:rPr>
      <w:rFonts w:ascii="Arial" w:hAnsi="Arial" w:eastAsia="宋体" w:cs="Times New Roman"/>
      <w:b/>
      <w:bCs/>
      <w:sz w:val="24"/>
      <w:szCs w:val="32"/>
    </w:rPr>
  </w:style>
  <w:style w:type="paragraph" w:styleId="974" w:customStyle="1">
    <w:name w:val="标题5"/>
    <w:basedOn w:val="871"/>
    <w:link w:val="973"/>
    <w:uiPriority w:val="0"/>
    <w:qFormat/>
    <w:pPr>
      <w:spacing w:line="413" w:lineRule="auto"/>
    </w:pPr>
    <w:rPr>
      <w:rFonts w:ascii="Arial" w:hAnsi="Arial"/>
      <w:sz w:val="24"/>
    </w:rPr>
  </w:style>
  <w:style w:type="character" w:styleId="975" w:customStyle="1">
    <w:name w:val="正文文本缩进 3 Char"/>
    <w:link w:val="914"/>
    <w:uiPriority w:val="0"/>
    <w:qFormat/>
    <w:rPr>
      <w:rFonts w:ascii="Times New Roman" w:hAnsi="Times New Roman" w:eastAsia="宋体" w:cs="Times New Roman"/>
      <w:sz w:val="24"/>
      <w:szCs w:val="24"/>
    </w:rPr>
  </w:style>
  <w:style w:type="character" w:styleId="976" w:customStyle="1">
    <w:name w:val="正文缩进 Char"/>
    <w:link w:val="880"/>
    <w:uiPriority w:val="0"/>
    <w:qFormat/>
    <w:rPr>
      <w:rFonts w:ascii="Times New Roman" w:hAnsi="Times New Roman" w:eastAsia="楷体_GB2312" w:cs="Times New Roman"/>
      <w:sz w:val="24"/>
    </w:rPr>
  </w:style>
  <w:style w:type="character" w:styleId="977" w:customStyle="1">
    <w:name w:val="标题 Char"/>
    <w:link w:val="924"/>
    <w:uiPriority w:val="0"/>
    <w:qFormat/>
    <w:rPr>
      <w:rFonts w:ascii="Calibri Light" w:hAnsi="Calibri Light" w:eastAsia="宋体" w:cs="Times New Roman"/>
      <w:b/>
      <w:bCs/>
      <w:sz w:val="32"/>
      <w:szCs w:val="32"/>
    </w:rPr>
  </w:style>
  <w:style w:type="character" w:styleId="978" w:customStyle="1">
    <w:name w:val="网格型浅色1"/>
    <w:uiPriority w:val="0"/>
    <w:qFormat/>
    <w:rPr>
      <w:rFonts w:ascii="Times New Roman" w:hAnsi="Times New Roman" w:eastAsia="宋体" w:cs="Times New Roman"/>
      <w:b/>
      <w:bCs/>
      <w:smallCaps/>
      <w:color w:val="c0504d"/>
      <w:spacing w:val="5"/>
      <w:u w:val="single"/>
    </w:rPr>
  </w:style>
  <w:style w:type="character" w:styleId="979" w:customStyle="1">
    <w:name w:val="引用 Char2"/>
    <w:uiPriority w:val="0"/>
    <w:qFormat/>
    <w:rPr>
      <w:rFonts w:ascii="Times New Roman" w:hAnsi="Times New Roman" w:eastAsia="楷体_GB2312" w:cs="Times New Roman"/>
      <w:i/>
      <w:iCs/>
      <w:color w:val="404040"/>
      <w:sz w:val="26"/>
    </w:rPr>
  </w:style>
  <w:style w:type="character" w:styleId="980" w:customStyle="1">
    <w:name w:val="节 Char"/>
    <w:link w:val="981"/>
    <w:uiPriority w:val="0"/>
    <w:qFormat/>
    <w:rPr>
      <w:rFonts w:ascii="黑体" w:hAnsi="Arial" w:eastAsia="黑体" w:cs="Times New Roman"/>
      <w:bCs/>
      <w:sz w:val="28"/>
      <w:szCs w:val="28"/>
    </w:rPr>
  </w:style>
  <w:style w:type="paragraph" w:styleId="981" w:customStyle="1">
    <w:name w:val="节"/>
    <w:basedOn w:val="870"/>
    <w:link w:val="980"/>
    <w:uiPriority w:val="0"/>
    <w:qFormat/>
    <w:pPr>
      <w:numPr>
        <w:ilvl w:val="1"/>
        <w:numId w:val="1"/>
      </w:numPr>
      <w:spacing w:line="240" w:lineRule="auto"/>
    </w:pPr>
    <w:rPr>
      <w:rFonts w:ascii="黑体" w:hAnsi="Arial" w:eastAsia="黑体"/>
      <w:b w:val="0"/>
      <w:sz w:val="28"/>
      <w:szCs w:val="28"/>
    </w:rPr>
  </w:style>
  <w:style w:type="character" w:styleId="982" w:customStyle="1">
    <w:name w:val="正文缩进 字符"/>
    <w:uiPriority w:val="0"/>
    <w:qFormat/>
    <w:rPr>
      <w:rFonts w:ascii="Times New Roman" w:hAnsi="Times New Roman" w:eastAsia="楷体_GB2312" w:cs="Times New Roman"/>
      <w:sz w:val="24"/>
      <w:lang w:val="en-US" w:eastAsia="zh-CN" w:bidi="ar-SA"/>
    </w:rPr>
  </w:style>
  <w:style w:type="character" w:styleId="983" w:customStyle="1">
    <w:name w:val="Char Char"/>
    <w:uiPriority w:val="0"/>
    <w:qFormat/>
    <w:rPr>
      <w:rFonts w:ascii="楷体_GB2312" w:hAnsi="Times New Roman" w:eastAsia="楷体_GB2312" w:cs="Times New Roman"/>
      <w:sz w:val="28"/>
      <w:lang w:val="en-US" w:eastAsia="zh-CN" w:bidi="ar-SA"/>
    </w:rPr>
  </w:style>
  <w:style w:type="character" w:styleId="984" w:customStyle="1">
    <w:name w:val="正文文本缩进 2 Char"/>
    <w:link w:val="901"/>
    <w:uiPriority w:val="0"/>
    <w:qFormat/>
    <w:rPr>
      <w:rFonts w:ascii="Times New Roman" w:hAnsi="Times New Roman" w:eastAsia="楷体_GB2312" w:cs="Times New Roman"/>
      <w:sz w:val="26"/>
    </w:rPr>
  </w:style>
  <w:style w:type="character" w:styleId="985" w:customStyle="1">
    <w:name w:val="纯文本 Char"/>
    <w:link w:val="897"/>
    <w:uiPriority w:val="99"/>
    <w:qFormat/>
    <w:rPr>
      <w:rFonts w:ascii="宋体" w:hAnsi="Courier New" w:eastAsia="楷体_GB2312" w:cs="Times New Roman"/>
      <w:sz w:val="26"/>
    </w:rPr>
  </w:style>
  <w:style w:type="character" w:styleId="986" w:customStyle="1">
    <w:name w:val="网格表 1 浅色1"/>
    <w:uiPriority w:val="0"/>
    <w:qFormat/>
    <w:rPr>
      <w:rFonts w:ascii="Times New Roman" w:hAnsi="Times New Roman" w:eastAsia="宋体" w:cs="Times New Roman"/>
      <w:b/>
      <w:bCs/>
      <w:smallCaps/>
      <w:spacing w:val="5"/>
    </w:rPr>
  </w:style>
  <w:style w:type="character" w:styleId="987" w:customStyle="1">
    <w:name w:val="副标题 Char"/>
    <w:link w:val="910"/>
    <w:uiPriority w:val="0"/>
    <w:qFormat/>
    <w:rPr>
      <w:rFonts w:ascii="Arial" w:hAnsi="Arial" w:eastAsia="宋体" w:cs="Arial"/>
      <w:b/>
      <w:bCs/>
      <w:sz w:val="32"/>
      <w:szCs w:val="32"/>
    </w:rPr>
  </w:style>
  <w:style w:type="character" w:styleId="988" w:customStyle="1">
    <w:name w:val="正文首行缩进 Char"/>
    <w:link w:val="926"/>
    <w:uiPriority w:val="0"/>
    <w:qFormat/>
    <w:rPr>
      <w:rFonts w:ascii="楷体_GB2312" w:hAnsi="Times New Roman" w:eastAsia="楷体_GB2312" w:cs="Times New Roman"/>
      <w:sz w:val="26"/>
    </w:rPr>
  </w:style>
  <w:style w:type="character" w:styleId="989" w:customStyle="1">
    <w:name w:val="列出段落 Char"/>
    <w:link w:val="990"/>
    <w:uiPriority w:val="0"/>
    <w:qFormat/>
    <w:rPr>
      <w:rFonts w:ascii="Calibri" w:hAnsi="Calibri" w:eastAsia="宋体" w:cs="Times New Roman"/>
      <w:sz w:val="21"/>
      <w:szCs w:val="22"/>
    </w:rPr>
  </w:style>
  <w:style w:type="paragraph" w:styleId="990" w:customStyle="1">
    <w:name w:val="列出段落1"/>
    <w:basedOn w:val="868"/>
    <w:link w:val="989"/>
    <w:uiPriority w:val="0"/>
    <w:qFormat/>
    <w:pPr>
      <w:ind w:firstLine="420"/>
    </w:pPr>
    <w:rPr>
      <w:rFonts w:ascii="Calibri" w:hAnsi="Calibri" w:eastAsia="宋体"/>
      <w:sz w:val="21"/>
      <w:szCs w:val="22"/>
    </w:rPr>
  </w:style>
  <w:style w:type="character" w:styleId="991" w:customStyle="1">
    <w:name w:val="浅色底纹 - 着色 2 Char"/>
    <w:link w:val="992"/>
    <w:uiPriority w:val="0"/>
    <w:qFormat/>
    <w:rPr>
      <w:rFonts w:ascii="Times New Roman" w:hAnsi="Times New Roman" w:eastAsia="宋体" w:cs="Times New Roman"/>
      <w:b/>
      <w:bCs/>
      <w:i/>
      <w:iCs/>
      <w:color w:val="4f81bd"/>
      <w:sz w:val="21"/>
      <w:szCs w:val="22"/>
    </w:rPr>
  </w:style>
  <w:style w:type="paragraph" w:styleId="992" w:customStyle="1">
    <w:name w:val="浅色底纹 - 着色 21"/>
    <w:basedOn w:val="868"/>
    <w:next w:val="868"/>
    <w:link w:val="991"/>
    <w:uiPriority w:val="0"/>
    <w:qFormat/>
    <w:pPr>
      <w:ind w:left="936" w:right="936"/>
      <w:spacing w:before="200" w:after="280"/>
      <w:pBdr>
        <w:bottom w:val="single" w:color="4F81BD" w:sz="4" w:space="4"/>
      </w:pBdr>
    </w:pPr>
    <w:rPr>
      <w:rFonts w:eastAsia="宋体"/>
      <w:b/>
      <w:bCs/>
      <w:i/>
      <w:iCs/>
      <w:color w:val="4f81bd"/>
      <w:sz w:val="21"/>
      <w:szCs w:val="22"/>
    </w:rPr>
  </w:style>
  <w:style w:type="character" w:styleId="993" w:customStyle="1">
    <w:name w:val="标题 1 Char"/>
    <w:link w:val="869"/>
    <w:uiPriority w:val="0"/>
    <w:qFormat/>
    <w:rPr>
      <w:rFonts w:ascii="Times New Roman" w:hAnsi="Times New Roman" w:eastAsia="楷体_GB2312" w:cs="Times New Roman"/>
      <w:b/>
      <w:sz w:val="44"/>
    </w:rPr>
  </w:style>
  <w:style w:type="character" w:styleId="994" w:customStyle="1">
    <w:name w:val="正文文本 Char1"/>
    <w:link w:val="890"/>
    <w:uiPriority w:val="0"/>
    <w:qFormat/>
    <w:rPr>
      <w:rFonts w:ascii="楷体_GB2312" w:hAnsi="Times New Roman" w:eastAsia="楷体_GB2312" w:cs="Times New Roman"/>
      <w:b/>
      <w:bCs/>
      <w:sz w:val="28"/>
    </w:rPr>
  </w:style>
  <w:style w:type="character" w:styleId="995" w:customStyle="1">
    <w:name w:val="正文文本 3 Char"/>
    <w:link w:val="889"/>
    <w:uiPriority w:val="0"/>
    <w:qFormat/>
    <w:rPr>
      <w:rFonts w:ascii="宋体" w:hAnsi="宋体" w:eastAsia="楷体_GB2312" w:cs="Times New Roman"/>
      <w:sz w:val="26"/>
    </w:rPr>
  </w:style>
  <w:style w:type="character" w:styleId="996" w:customStyle="1">
    <w:name w:val="文档结构图 Char1"/>
    <w:uiPriority w:val="0"/>
    <w:qFormat/>
    <w:rPr>
      <w:rFonts w:ascii="宋体" w:hAnsi="Times New Roman" w:eastAsia="宋体" w:cs="Times New Roman"/>
      <w:sz w:val="18"/>
      <w:szCs w:val="18"/>
    </w:rPr>
  </w:style>
  <w:style w:type="character" w:styleId="997" w:customStyle="1">
    <w:name w:val="s5"/>
    <w:uiPriority w:val="0"/>
    <w:qFormat/>
    <w:rPr>
      <w:rFonts w:ascii="Times New Roman" w:hAnsi="Times New Roman" w:eastAsia="宋体" w:cs="Times New Roman"/>
    </w:rPr>
  </w:style>
  <w:style w:type="character" w:styleId="998" w:customStyle="1">
    <w:name w:val="s1"/>
    <w:uiPriority w:val="0"/>
    <w:qFormat/>
    <w:rPr>
      <w:rFonts w:ascii="Times New Roman" w:hAnsi="Times New Roman" w:eastAsia="宋体" w:cs="Times New Roman"/>
    </w:rPr>
  </w:style>
  <w:style w:type="character" w:styleId="999" w:customStyle="1">
    <w:name w:val="脚注文本 Char"/>
    <w:link w:val="912"/>
    <w:uiPriority w:val="0"/>
    <w:qFormat/>
    <w:rPr>
      <w:rFonts w:ascii="Times New Roman" w:hAnsi="Times New Roman" w:eastAsia="楷体_GB2312" w:cs="Times New Roman"/>
      <w:sz w:val="18"/>
    </w:rPr>
  </w:style>
  <w:style w:type="character" w:styleId="1000" w:customStyle="1">
    <w:name w:val="正文文本 Char"/>
    <w:uiPriority w:val="0"/>
    <w:qFormat/>
    <w:rPr>
      <w:rFonts w:ascii="楷体_GB2312" w:hAnsi="Times New Roman" w:eastAsia="楷体_GB2312" w:cs="Times New Roman"/>
      <w:sz w:val="28"/>
      <w:szCs w:val="20"/>
    </w:rPr>
  </w:style>
  <w:style w:type="character" w:styleId="1001" w:customStyle="1">
    <w:name w:val="Andy_正文 Char"/>
    <w:link w:val="1002"/>
    <w:uiPriority w:val="0"/>
    <w:qFormat/>
    <w:rPr>
      <w:rFonts w:ascii="Calibri" w:hAnsi="Calibri" w:eastAsia="宋体" w:cs="Times New Roman"/>
      <w:sz w:val="24"/>
      <w:szCs w:val="24"/>
    </w:rPr>
  </w:style>
  <w:style w:type="paragraph" w:styleId="1002" w:customStyle="1">
    <w:name w:val="Andy_正文"/>
    <w:basedOn w:val="868"/>
    <w:link w:val="1001"/>
    <w:uiPriority w:val="0"/>
    <w:qFormat/>
    <w:pPr>
      <w:ind w:firstLine="480"/>
      <w:spacing w:line="360" w:lineRule="auto"/>
    </w:pPr>
    <w:rPr>
      <w:rFonts w:ascii="Calibri" w:hAnsi="Calibri" w:eastAsia="宋体"/>
      <w:sz w:val="24"/>
      <w:szCs w:val="24"/>
    </w:rPr>
  </w:style>
  <w:style w:type="character" w:styleId="1003" w:customStyle="1">
    <w:name w:val="批注主题 Char"/>
    <w:link w:val="925"/>
    <w:uiPriority w:val="0"/>
    <w:qFormat/>
    <w:rPr>
      <w:rFonts w:ascii="Times New Roman" w:hAnsi="Times New Roman" w:eastAsia="楷体_GB2312" w:cs="Times New Roman"/>
      <w:b/>
      <w:bCs/>
      <w:sz w:val="26"/>
    </w:rPr>
  </w:style>
  <w:style w:type="character" w:styleId="1004" w:customStyle="1">
    <w:name w:val="s4"/>
    <w:uiPriority w:val="0"/>
    <w:qFormat/>
    <w:rPr>
      <w:rFonts w:ascii="Times New Roman" w:hAnsi="Times New Roman" w:eastAsia="宋体" w:cs="Times New Roman"/>
    </w:rPr>
  </w:style>
  <w:style w:type="character" w:styleId="1005" w:customStyle="1">
    <w:name w:val="批注文字 Char"/>
    <w:link w:val="887"/>
    <w:uiPriority w:val="0"/>
    <w:qFormat/>
    <w:rPr>
      <w:rFonts w:ascii="Times New Roman" w:hAnsi="Times New Roman" w:eastAsia="楷体_GB2312" w:cs="Times New Roman"/>
      <w:sz w:val="26"/>
    </w:rPr>
  </w:style>
  <w:style w:type="character" w:styleId="1006" w:customStyle="1">
    <w:name w:val="正文首行缩进 Char Char"/>
    <w:link w:val="1007"/>
    <w:uiPriority w:val="0"/>
    <w:qFormat/>
    <w:rPr>
      <w:rFonts w:ascii="Times New Roman" w:hAnsi="Times New Roman" w:eastAsia="宋体" w:cs="Times New Roman"/>
      <w:szCs w:val="24"/>
    </w:rPr>
  </w:style>
  <w:style w:type="paragraph" w:styleId="1007" w:customStyle="1">
    <w:name w:val="正文首行缩进1"/>
    <w:basedOn w:val="890"/>
    <w:link w:val="1006"/>
    <w:uiPriority w:val="0"/>
    <w:qFormat/>
    <w:pPr>
      <w:ind w:firstLine="420"/>
      <w:spacing w:after="120"/>
      <w:widowControl/>
    </w:pPr>
    <w:rPr>
      <w:rFonts w:ascii="Times New Roman" w:eastAsia="宋体"/>
      <w:b w:val="0"/>
      <w:bCs w:val="0"/>
      <w:sz w:val="20"/>
      <w:szCs w:val="24"/>
    </w:rPr>
  </w:style>
  <w:style w:type="character" w:styleId="1008" w:customStyle="1">
    <w:name w:val="普通文字 Char Char Char"/>
    <w:uiPriority w:val="0"/>
    <w:qFormat/>
    <w:rPr>
      <w:rFonts w:ascii="宋体" w:hAnsi="Courier New" w:eastAsia="楷体_GB2312" w:cs="Times New Roman"/>
      <w:sz w:val="26"/>
      <w:lang w:val="en-US" w:eastAsia="zh-CN" w:bidi="ar-SA"/>
    </w:rPr>
  </w:style>
  <w:style w:type="character" w:styleId="1009" w:customStyle="1">
    <w:name w:val="标题 9 Char"/>
    <w:link w:val="877"/>
    <w:uiPriority w:val="0"/>
    <w:qFormat/>
    <w:rPr>
      <w:rFonts w:ascii="Arial" w:hAnsi="Arial" w:eastAsia="黑体" w:cs="Times New Roman"/>
      <w:sz w:val="21"/>
    </w:rPr>
  </w:style>
  <w:style w:type="character" w:styleId="1010" w:customStyle="1">
    <w:name w:val="正文文本缩进 3 Char1"/>
    <w:uiPriority w:val="0"/>
    <w:qFormat/>
    <w:rPr>
      <w:rFonts w:ascii="Times New Roman" w:hAnsi="Times New Roman" w:eastAsia="楷体_GB2312" w:cs="Times New Roman"/>
      <w:sz w:val="16"/>
      <w:szCs w:val="16"/>
    </w:rPr>
  </w:style>
  <w:style w:type="character" w:styleId="1011" w:customStyle="1">
    <w:name w:val="标题 5 Char"/>
    <w:link w:val="873"/>
    <w:uiPriority w:val="0"/>
    <w:qFormat/>
    <w:rPr>
      <w:rFonts w:ascii="Times New Roman" w:hAnsi="Times New Roman" w:eastAsia="宋体" w:cs="Times New Roman"/>
      <w:b/>
      <w:sz w:val="28"/>
    </w:rPr>
  </w:style>
  <w:style w:type="character" w:styleId="1012" w:customStyle="1">
    <w:name w:val="批注框文本 Char"/>
    <w:link w:val="903"/>
    <w:uiPriority w:val="0"/>
    <w:qFormat/>
    <w:rPr>
      <w:rFonts w:ascii="Times New Roman" w:hAnsi="Times New Roman" w:eastAsia="楷体_GB2312" w:cs="Times New Roman"/>
      <w:sz w:val="18"/>
      <w:szCs w:val="18"/>
    </w:rPr>
  </w:style>
  <w:style w:type="character" w:styleId="1013" w:customStyle="1">
    <w:name w:val="页眉 Char1"/>
    <w:uiPriority w:val="0"/>
    <w:qFormat/>
    <w:rPr>
      <w:rFonts w:ascii="Times New Roman" w:hAnsi="Times New Roman" w:eastAsia="宋体" w:cs="Times New Roman"/>
      <w:sz w:val="18"/>
      <w:szCs w:val="18"/>
    </w:rPr>
  </w:style>
  <w:style w:type="character" w:styleId="1014" w:customStyle="1">
    <w:name w:val="无格式表格 31"/>
    <w:uiPriority w:val="0"/>
    <w:qFormat/>
    <w:rPr>
      <w:rFonts w:ascii="Times New Roman" w:hAnsi="Times New Roman" w:eastAsia="宋体" w:cs="Times New Roman"/>
      <w:i/>
      <w:iCs/>
      <w:color w:val="808080"/>
    </w:rPr>
  </w:style>
  <w:style w:type="character" w:styleId="1015" w:customStyle="1">
    <w:name w:val="无格式表格 51"/>
    <w:uiPriority w:val="0"/>
    <w:qFormat/>
    <w:rPr>
      <w:rFonts w:ascii="Times New Roman" w:hAnsi="Times New Roman" w:eastAsia="宋体" w:cs="Times New Roman"/>
      <w:smallCaps/>
      <w:color w:val="c0504d"/>
      <w:u w:val="single"/>
    </w:rPr>
  </w:style>
  <w:style w:type="character" w:styleId="1016" w:customStyle="1">
    <w:name w:val="标题 6 Char"/>
    <w:link w:val="874"/>
    <w:uiPriority w:val="0"/>
    <w:qFormat/>
    <w:rPr>
      <w:rFonts w:ascii="Arial" w:hAnsi="Arial" w:eastAsia="黑体" w:cs="Times New Roman"/>
      <w:b/>
      <w:sz w:val="24"/>
    </w:rPr>
  </w:style>
  <w:style w:type="character" w:styleId="1017" w:customStyle="1">
    <w:name w:val="标题 7 Char"/>
    <w:link w:val="875"/>
    <w:uiPriority w:val="0"/>
    <w:qFormat/>
    <w:rPr>
      <w:rFonts w:ascii="Times New Roman" w:hAnsi="Times New Roman" w:eastAsia="宋体" w:cs="Times New Roman"/>
      <w:b/>
      <w:sz w:val="24"/>
    </w:rPr>
  </w:style>
  <w:style w:type="character" w:styleId="1018" w:customStyle="1">
    <w:name w:val="标题 4 Char"/>
    <w:link w:val="872"/>
    <w:uiPriority w:val="0"/>
    <w:qFormat/>
    <w:rPr>
      <w:rFonts w:ascii="Calibri Light" w:hAnsi="Calibri Light" w:eastAsia="宋体" w:cs="Times New Roman"/>
      <w:b/>
      <w:bCs/>
      <w:sz w:val="28"/>
      <w:szCs w:val="28"/>
    </w:rPr>
  </w:style>
  <w:style w:type="character" w:styleId="1019" w:customStyle="1">
    <w:name w:val="批注主题 Char1"/>
    <w:uiPriority w:val="0"/>
    <w:qFormat/>
    <w:rPr>
      <w:rFonts w:ascii="Times New Roman" w:hAnsi="Times New Roman" w:eastAsia="宋体" w:cs="Times New Roman"/>
      <w:b/>
      <w:bCs/>
      <w:sz w:val="21"/>
      <w:szCs w:val="22"/>
    </w:rPr>
  </w:style>
  <w:style w:type="character" w:styleId="1020" w:customStyle="1">
    <w:name w:val="para"/>
    <w:uiPriority w:val="0"/>
    <w:qFormat/>
    <w:rPr>
      <w:rFonts w:ascii="Tahoma" w:hAnsi="Tahoma" w:eastAsia="宋体" w:cs="Times New Roman"/>
      <w:sz w:val="24"/>
      <w:szCs w:val="24"/>
      <w:lang w:val="en-US" w:eastAsia="zh-CN" w:bidi="ar-SA"/>
    </w:rPr>
  </w:style>
  <w:style w:type="character" w:styleId="1021" w:customStyle="1">
    <w:name w:val="s3"/>
    <w:uiPriority w:val="0"/>
    <w:qFormat/>
    <w:rPr>
      <w:rFonts w:ascii="Times New Roman" w:hAnsi="Times New Roman" w:eastAsia="宋体" w:cs="Times New Roman"/>
    </w:rPr>
  </w:style>
  <w:style w:type="character" w:styleId="1022" w:customStyle="1">
    <w:name w:val="正文文本 2 Char"/>
    <w:link w:val="920"/>
    <w:uiPriority w:val="0"/>
    <w:qFormat/>
    <w:rPr>
      <w:rFonts w:ascii="Times New Roman" w:hAnsi="Times New Roman" w:eastAsia="楷体_GB2312" w:cs="Times New Roman"/>
      <w:sz w:val="26"/>
    </w:rPr>
  </w:style>
  <w:style w:type="character" w:styleId="1023" w:customStyle="1">
    <w:name w:val="正文文本缩进 Char"/>
    <w:link w:val="891"/>
    <w:uiPriority w:val="0"/>
    <w:qFormat/>
    <w:rPr>
      <w:rFonts w:ascii="宋体" w:hAnsi="Times New Roman" w:eastAsia="宋体" w:cs="Times New Roman"/>
      <w:sz w:val="28"/>
    </w:rPr>
  </w:style>
  <w:style w:type="character" w:styleId="1024" w:customStyle="1">
    <w:name w:val="批注框文本 Char1"/>
    <w:uiPriority w:val="0"/>
    <w:qFormat/>
    <w:rPr>
      <w:rFonts w:ascii="Times New Roman" w:hAnsi="Times New Roman" w:eastAsia="宋体" w:cs="Times New Roman"/>
      <w:sz w:val="18"/>
      <w:szCs w:val="18"/>
    </w:rPr>
  </w:style>
  <w:style w:type="character" w:styleId="1025" w:customStyle="1">
    <w:name w:val="副标题 Char1"/>
    <w:uiPriority w:val="0"/>
    <w:qFormat/>
    <w:rPr>
      <w:rFonts w:ascii="Cambria" w:hAnsi="Cambria" w:eastAsia="宋体" w:cs="Times New Roman"/>
      <w:b/>
      <w:bCs/>
      <w:sz w:val="32"/>
      <w:szCs w:val="32"/>
    </w:rPr>
  </w:style>
  <w:style w:type="character" w:styleId="1026" w:customStyle="1">
    <w:name w:val="HTML 预设格式 Char"/>
    <w:link w:val="921"/>
    <w:uiPriority w:val="0"/>
    <w:qFormat/>
    <w:rPr>
      <w:rFonts w:ascii="黑体" w:hAnsi="Courier New" w:eastAsia="黑体" w:cs="Courier New"/>
    </w:rPr>
  </w:style>
  <w:style w:type="character" w:styleId="1027" w:customStyle="1">
    <w:name w:val="Char Char1"/>
    <w:uiPriority w:val="0"/>
    <w:qFormat/>
    <w:rPr>
      <w:rFonts w:ascii="宋体" w:hAnsi="Courier New" w:eastAsia="楷体_GB2312" w:cs="Times New Roman"/>
      <w:sz w:val="26"/>
      <w:lang w:val="en-US" w:eastAsia="zh-CN" w:bidi="ar-SA"/>
    </w:rPr>
  </w:style>
  <w:style w:type="character" w:styleId="1028" w:customStyle="1">
    <w:name w:val="font91"/>
    <w:uiPriority w:val="0"/>
    <w:qFormat/>
    <w:rPr>
      <w:rFonts w:hint="eastAsia" w:ascii="仿宋_GB2312" w:hAnsi="Times New Roman" w:eastAsia="仿宋_GB2312" w:cs="仿宋_GB2312"/>
      <w:b/>
      <w:color w:val="000000"/>
      <w:sz w:val="22"/>
      <w:szCs w:val="22"/>
      <w:u w:val="none"/>
    </w:rPr>
  </w:style>
  <w:style w:type="character" w:styleId="1029" w:customStyle="1">
    <w:name w:val="文档结构图 Char"/>
    <w:link w:val="886"/>
    <w:uiPriority w:val="0"/>
    <w:qFormat/>
    <w:rPr>
      <w:rFonts w:ascii="宋体" w:hAnsi="宋体" w:eastAsia="宋体" w:cs="Times New Roman"/>
      <w:sz w:val="24"/>
      <w:szCs w:val="24"/>
      <w:shd w:val="clear" w:color="auto" w:fill="000080"/>
    </w:rPr>
  </w:style>
  <w:style w:type="character" w:styleId="1030" w:customStyle="1">
    <w:name w:val="样式11"/>
    <w:uiPriority w:val="0"/>
    <w:qFormat/>
    <w:rPr>
      <w:rFonts w:ascii="Times New Roman" w:hAnsi="Times New Roman" w:eastAsia="宋体" w:cs="Times New Roman"/>
      <w:b/>
      <w:bCs/>
    </w:rPr>
  </w:style>
  <w:style w:type="character" w:styleId="1031" w:customStyle="1">
    <w:name w:val="ca-221"/>
    <w:uiPriority w:val="0"/>
    <w:qFormat/>
    <w:rPr>
      <w:rFonts w:hint="eastAsia" w:ascii="宋体" w:hAnsi="宋体" w:eastAsia="宋体" w:cs="Times New Roman"/>
      <w:color w:val="ff0000"/>
      <w:sz w:val="24"/>
      <w:szCs w:val="24"/>
    </w:rPr>
  </w:style>
  <w:style w:type="character" w:styleId="1032" w:customStyle="1">
    <w:name w:val="尾注文本 Char"/>
    <w:link w:val="902"/>
    <w:uiPriority w:val="0"/>
    <w:qFormat/>
    <w:rPr>
      <w:rFonts w:ascii="Times New Roman" w:hAnsi="Times New Roman" w:eastAsia="楷体_GB2312" w:cs="Times New Roman"/>
      <w:sz w:val="26"/>
    </w:rPr>
  </w:style>
  <w:style w:type="character" w:styleId="1033" w:customStyle="1">
    <w:name w:val="标题4 Char Char"/>
    <w:uiPriority w:val="0"/>
    <w:qFormat/>
    <w:rPr>
      <w:rFonts w:ascii="Arial" w:hAnsi="Arial" w:eastAsia="宋体" w:cs="Times New Roman"/>
      <w:b/>
      <w:bCs/>
      <w:sz w:val="24"/>
      <w:szCs w:val="32"/>
    </w:rPr>
  </w:style>
  <w:style w:type="character" w:styleId="1034" w:customStyle="1">
    <w:name w:val="s2"/>
    <w:uiPriority w:val="0"/>
    <w:qFormat/>
    <w:rPr>
      <w:rFonts w:ascii="Times New Roman" w:hAnsi="Times New Roman" w:eastAsia="宋体" w:cs="Times New Roman"/>
    </w:rPr>
  </w:style>
  <w:style w:type="character" w:styleId="1035" w:customStyle="1">
    <w:name w:val="font81"/>
    <w:uiPriority w:val="0"/>
    <w:qFormat/>
    <w:rPr>
      <w:rFonts w:hint="eastAsia" w:ascii="仿宋_GB2312" w:hAnsi="Times New Roman" w:eastAsia="仿宋_GB2312" w:cs="仿宋_GB2312"/>
      <w:color w:val="ff0000"/>
      <w:sz w:val="22"/>
      <w:szCs w:val="22"/>
      <w:u w:val="none"/>
    </w:rPr>
  </w:style>
  <w:style w:type="character" w:styleId="1036" w:customStyle="1">
    <w:name w:val="纯文本 Char1"/>
    <w:uiPriority w:val="0"/>
    <w:qFormat/>
    <w:rPr>
      <w:rFonts w:ascii="宋体" w:hAnsi="Courier New" w:eastAsia="楷体_GB2312" w:cs="Times New Roman"/>
      <w:sz w:val="26"/>
      <w:lang w:bidi="ar-SA"/>
    </w:rPr>
  </w:style>
  <w:style w:type="character" w:styleId="1037" w:customStyle="1">
    <w:name w:val="正文文本 Char2"/>
    <w:uiPriority w:val="0"/>
    <w:qFormat/>
    <w:rPr>
      <w:rFonts w:ascii="Times New Roman" w:hAnsi="Times New Roman" w:eastAsia="宋体" w:cs="Times New Roman"/>
      <w:sz w:val="21"/>
      <w:szCs w:val="24"/>
    </w:rPr>
  </w:style>
  <w:style w:type="character" w:styleId="1038" w:customStyle="1">
    <w:name w:val="标题 8 Char"/>
    <w:link w:val="876"/>
    <w:uiPriority w:val="0"/>
    <w:qFormat/>
    <w:rPr>
      <w:rFonts w:ascii="Arial" w:hAnsi="Arial" w:eastAsia="黑体" w:cs="Times New Roman"/>
      <w:sz w:val="24"/>
    </w:rPr>
  </w:style>
  <w:style w:type="character" w:styleId="1039" w:customStyle="1">
    <w:name w:val="op-map-singlepoint-info-right1"/>
    <w:uiPriority w:val="0"/>
    <w:qFormat/>
    <w:rPr>
      <w:rFonts w:ascii="Times New Roman" w:hAnsi="Times New Roman" w:eastAsia="宋体" w:cs="Times New Roman"/>
    </w:rPr>
  </w:style>
  <w:style w:type="character" w:styleId="1040" w:customStyle="1">
    <w:name w:val="批注文字 Char1"/>
    <w:uiPriority w:val="0"/>
    <w:qFormat/>
    <w:rPr>
      <w:rFonts w:ascii="宋体" w:hAnsi="宋体" w:eastAsia="宋体" w:cs="Times New Roman"/>
      <w:sz w:val="24"/>
      <w:szCs w:val="24"/>
    </w:rPr>
  </w:style>
  <w:style w:type="character" w:styleId="1041" w:customStyle="1">
    <w:name w:val="【正文】 Char"/>
    <w:link w:val="1042"/>
    <w:uiPriority w:val="0"/>
    <w:qFormat/>
    <w:rPr>
      <w:sz w:val="24"/>
    </w:rPr>
  </w:style>
  <w:style w:type="paragraph" w:styleId="1042" w:customStyle="1">
    <w:name w:val="【正文】"/>
    <w:basedOn w:val="868"/>
    <w:link w:val="1041"/>
    <w:uiPriority w:val="0"/>
    <w:qFormat/>
    <w:pPr>
      <w:ind w:firstLine="480"/>
      <w:spacing w:line="360" w:lineRule="auto"/>
    </w:pPr>
    <w:rPr>
      <w:rFonts w:eastAsia="宋体"/>
      <w:sz w:val="24"/>
    </w:rPr>
  </w:style>
  <w:style w:type="character" w:styleId="1043" w:customStyle="1">
    <w:name w:val="grame"/>
    <w:uiPriority w:val="0"/>
    <w:qFormat/>
  </w:style>
  <w:style w:type="paragraph" w:styleId="1044"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1045" w:customStyle="1">
    <w:name w:val="xl66"/>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6" w:customStyle="1">
    <w:name w:val="xl58"/>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7" w:customStyle="1">
    <w:name w:val="Char Char Char Char Char Char Char Char Char Char"/>
    <w:basedOn w:val="868"/>
    <w:uiPriority w:val="0"/>
    <w:qFormat/>
    <w:pPr>
      <w:ind w:left="360" w:hanging="360"/>
      <w:tabs>
        <w:tab w:val="left" w:pos="420" w:leader="none"/>
      </w:tabs>
    </w:pPr>
    <w:rPr>
      <w:rFonts w:eastAsia="宋体"/>
      <w:sz w:val="24"/>
      <w:szCs w:val="24"/>
    </w:rPr>
  </w:style>
  <w:style w:type="paragraph" w:styleId="1048" w:customStyle="1">
    <w:name w:val="_Style 24"/>
    <w:basedOn w:val="868"/>
    <w:uiPriority w:val="0"/>
    <w:qFormat/>
    <w:rPr>
      <w:rFonts w:eastAsia="宋体"/>
      <w:sz w:val="21"/>
      <w:szCs w:val="24"/>
    </w:rPr>
  </w:style>
  <w:style w:type="paragraph" w:styleId="1049" w:customStyle="1">
    <w:name w:val="小四 段落 宋体 Char"/>
    <w:basedOn w:val="883"/>
    <w:uiPriority w:val="0"/>
    <w:qFormat/>
    <w:pPr>
      <w:ind w:left="0" w:right="-33" w:firstLine="480"/>
      <w:jc w:val="left"/>
      <w:spacing w:line="360" w:lineRule="auto"/>
      <w:tabs>
        <w:tab w:val="clear" w:pos="1125" w:leader="none"/>
      </w:tabs>
    </w:pPr>
    <w:rPr>
      <w:sz w:val="24"/>
    </w:rPr>
  </w:style>
  <w:style w:type="paragraph" w:styleId="1050" w:customStyle="1">
    <w:name w:val="xl64"/>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1" w:customStyle="1">
    <w:name w:val="p0"/>
    <w:basedOn w:val="868"/>
    <w:uiPriority w:val="0"/>
    <w:qFormat/>
    <w:pPr>
      <w:jc w:val="left"/>
      <w:spacing w:after="120" w:line="264" w:lineRule="auto"/>
      <w:widowControl/>
    </w:pPr>
    <w:rPr>
      <w:rFonts w:ascii="Calibri" w:hAnsi="Calibri" w:eastAsia="宋体"/>
      <w:sz w:val="20"/>
      <w:szCs w:val="21"/>
    </w:rPr>
  </w:style>
  <w:style w:type="paragraph" w:styleId="1052" w:customStyle="1">
    <w:name w:val="Char Char Char"/>
    <w:basedOn w:val="868"/>
    <w:uiPriority w:val="0"/>
    <w:qFormat/>
    <w:rPr>
      <w:rFonts w:ascii="Tahoma" w:hAnsi="Tahoma" w:eastAsia="宋体"/>
      <w:sz w:val="24"/>
    </w:rPr>
  </w:style>
  <w:style w:type="paragraph" w:styleId="1053" w:customStyle="1">
    <w:name w:val="Default Paragraph Font Para Char"/>
    <w:basedOn w:val="868"/>
    <w:uiPriority w:val="0"/>
    <w:qFormat/>
    <w:pPr>
      <w:jc w:val="left"/>
      <w:spacing w:after="160" w:line="240" w:lineRule="exact"/>
      <w:widowControl/>
    </w:pPr>
    <w:rPr>
      <w:rFonts w:ascii="Verdana" w:hAnsi="Verdana" w:eastAsia="宋体"/>
      <w:sz w:val="20"/>
      <w:lang w:eastAsia="en-US"/>
    </w:rPr>
  </w:style>
  <w:style w:type="paragraph" w:styleId="1054" w:customStyle="1">
    <w:name w:val="列表内容"/>
    <w:basedOn w:val="868"/>
    <w:next w:val="868"/>
    <w:uiPriority w:val="0"/>
    <w:qFormat/>
    <w:pPr>
      <w:numPr>
        <w:ilvl w:val="0"/>
        <w:numId w:val="2"/>
      </w:numPr>
      <w:jc w:val="left"/>
      <w:widowControl/>
    </w:pPr>
    <w:rPr>
      <w:rFonts w:eastAsia="宋体"/>
      <w:sz w:val="18"/>
      <w:szCs w:val="24"/>
    </w:rPr>
  </w:style>
  <w:style w:type="paragraph" w:styleId="1055" w:customStyle="1">
    <w:name w:val="xl54"/>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6" w:customStyle="1">
    <w:name w:val="Char Char Char Char Char Char Char Char Char Char1"/>
    <w:basedOn w:val="868"/>
    <w:uiPriority w:val="0"/>
    <w:qFormat/>
    <w:pPr>
      <w:numPr>
        <w:ilvl w:val="0"/>
        <w:numId w:val="3"/>
      </w:numPr>
      <w:tabs>
        <w:tab w:val="left" w:pos="420" w:leader="none"/>
      </w:tabs>
    </w:pPr>
    <w:rPr>
      <w:rFonts w:eastAsia="宋体"/>
      <w:sz w:val="24"/>
      <w:szCs w:val="24"/>
    </w:rPr>
  </w:style>
  <w:style w:type="paragraph" w:styleId="1057" w:customStyle="1">
    <w:name w:val="xl52"/>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8" w:customStyle="1">
    <w:name w:val="xl59"/>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9" w:customStyle="1">
    <w:name w:val="小四 段落 宋体 Char Char Char Char Char Char Char"/>
    <w:basedOn w:val="883"/>
    <w:uiPriority w:val="0"/>
    <w:qFormat/>
    <w:pPr>
      <w:ind w:left="0" w:right="-33" w:firstLine="545"/>
      <w:jc w:val="left"/>
      <w:spacing w:line="360" w:lineRule="auto"/>
      <w:tabs>
        <w:tab w:val="clear" w:pos="1125" w:leader="none"/>
      </w:tabs>
    </w:pPr>
    <w:rPr>
      <w:sz w:val="24"/>
    </w:rPr>
  </w:style>
  <w:style w:type="paragraph" w:styleId="1060" w:customStyle="1">
    <w:name w:val="财政-标题四"/>
    <w:basedOn w:val="1061"/>
    <w:uiPriority w:val="0"/>
    <w:qFormat/>
    <w:pPr>
      <w:numPr>
        <w:ilvl w:val="3"/>
      </w:numPr>
      <w:outlineLvl w:val="3"/>
    </w:pPr>
    <w:rPr>
      <w:sz w:val="30"/>
    </w:rPr>
  </w:style>
  <w:style w:type="paragraph" w:styleId="1061" w:customStyle="1">
    <w:name w:val="财政-标题三"/>
    <w:basedOn w:val="1062"/>
    <w:uiPriority w:val="0"/>
    <w:qFormat/>
    <w:pPr>
      <w:numPr>
        <w:ilvl w:val="2"/>
      </w:numPr>
      <w:outlineLvl w:val="2"/>
    </w:pPr>
    <w:rPr>
      <w:sz w:val="32"/>
    </w:rPr>
  </w:style>
  <w:style w:type="paragraph" w:styleId="1062" w:customStyle="1">
    <w:name w:val="财政-标题二"/>
    <w:basedOn w:val="1063"/>
    <w:uiPriority w:val="0"/>
    <w:qFormat/>
    <w:pPr>
      <w:numPr>
        <w:ilvl w:val="1"/>
        <w:numId w:val="0"/>
      </w:numPr>
      <w:outlineLvl w:val="1"/>
    </w:pPr>
    <w:rPr>
      <w:rFonts w:ascii="Times New Roman" w:hAnsi="Times New Roman" w:eastAsia="宋体"/>
      <w:sz w:val="36"/>
    </w:rPr>
  </w:style>
  <w:style w:type="paragraph" w:styleId="1063" w:customStyle="1">
    <w:name w:val="财政-标题一"/>
    <w:basedOn w:val="868"/>
    <w:uiPriority w:val="0"/>
    <w:qFormat/>
    <w:pPr>
      <w:numPr>
        <w:ilvl w:val="0"/>
        <w:numId w:val="4"/>
      </w:numPr>
      <w:outlineLvl w:val="0"/>
    </w:pPr>
    <w:rPr>
      <w:rFonts w:ascii="Calibri" w:hAnsi="Calibri" w:eastAsia="华文中宋"/>
      <w:b/>
      <w:sz w:val="44"/>
      <w:szCs w:val="21"/>
    </w:rPr>
  </w:style>
  <w:style w:type="paragraph" w:styleId="1064" w:customStyle="1">
    <w:name w:val="newstyle15"/>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065" w:customStyle="1">
    <w:name w:val="xl62"/>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66" w:customStyle="1">
    <w:name w:val="默认"/>
    <w:uiPriority w:val="0"/>
    <w:qFormat/>
    <w:rPr>
      <w:rFonts w:hint="eastAsia" w:ascii="Arial Unicode MS" w:hAnsi="Arial Unicode MS" w:eastAsia="Arial Unicode MS" w:cs="Arial Unicode MS"/>
      <w:color w:val="000000"/>
      <w:sz w:val="22"/>
      <w:szCs w:val="22"/>
      <w:lang w:val="zh-TW" w:eastAsia="zh-TW" w:bidi="ar-SA"/>
    </w:rPr>
  </w:style>
  <w:style w:type="paragraph" w:styleId="1067" w:customStyle="1">
    <w:name w:val="_Style 1"/>
    <w:basedOn w:val="868"/>
    <w:uiPriority w:val="0"/>
    <w:qFormat/>
    <w:pPr>
      <w:contextualSpacing/>
      <w:ind w:left="720"/>
    </w:pPr>
    <w:rPr>
      <w:rFonts w:eastAsia="宋体"/>
      <w:sz w:val="21"/>
      <w:szCs w:val="21"/>
    </w:rPr>
  </w:style>
  <w:style w:type="paragraph" w:styleId="1068" w:customStyle="1">
    <w:name w:val="小四 段落 宋体 Char Char Char Char Char Char"/>
    <w:basedOn w:val="1059"/>
    <w:uiPriority w:val="0"/>
    <w:qFormat/>
    <w:pPr>
      <w:ind w:firstLine="480"/>
    </w:pPr>
    <w:rPr>
      <w:rFonts w:ascii="宋体" w:hAnsi="宋体"/>
    </w:rPr>
  </w:style>
  <w:style w:type="paragraph" w:styleId="1069" w:customStyle="1">
    <w:name w:val="样式 标题 3 + (中文) 黑体 小四 非加粗 段前: 7.8 磅 段后: 0 磅 行距: 固定值 20 磅"/>
    <w:basedOn w:val="871"/>
    <w:uiPriority w:val="0"/>
    <w:qFormat/>
    <w:pPr>
      <w:spacing w:before="0" w:after="0" w:line="400" w:lineRule="exact"/>
    </w:pPr>
    <w:rPr>
      <w:rFonts w:eastAsia="黑体" w:cs="宋体"/>
      <w:b w:val="0"/>
      <w:bCs w:val="0"/>
      <w:sz w:val="24"/>
      <w:szCs w:val="20"/>
    </w:rPr>
  </w:style>
  <w:style w:type="paragraph" w:styleId="1070" w:customStyle="1">
    <w:name w:val="p6"/>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071" w:customStyle="1">
    <w:name w:val="xl50"/>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72" w:customStyle="1">
    <w:name w:val="正文首行缩进两字符"/>
    <w:basedOn w:val="868"/>
    <w:uiPriority w:val="0"/>
    <w:qFormat/>
    <w:pPr>
      <w:ind w:firstLine="200"/>
      <w:spacing w:line="360" w:lineRule="auto"/>
    </w:pPr>
    <w:rPr>
      <w:rFonts w:eastAsia="宋体"/>
      <w:sz w:val="21"/>
      <w:szCs w:val="24"/>
    </w:rPr>
  </w:style>
  <w:style w:type="paragraph" w:styleId="1073" w:customStyle="1">
    <w:name w:val="Char"/>
    <w:basedOn w:val="868"/>
    <w:uiPriority w:val="0"/>
    <w:qFormat/>
    <w:rPr>
      <w:rFonts w:ascii="Tahoma" w:hAnsi="Tahoma" w:eastAsia="宋体"/>
      <w:sz w:val="24"/>
    </w:rPr>
  </w:style>
  <w:style w:type="paragraph" w:styleId="1074" w:customStyle="1">
    <w:name w:val="网格表 31"/>
    <w:basedOn w:val="869"/>
    <w:next w:val="868"/>
    <w:uiPriority w:val="0"/>
    <w:qFormat/>
    <w:pPr>
      <w:outlineLvl w:val="9"/>
    </w:pPr>
    <w:rPr>
      <w:bCs/>
      <w:szCs w:val="44"/>
    </w:rPr>
  </w:style>
  <w:style w:type="paragraph" w:styleId="1075" w:customStyle="1">
    <w:name w:val="p16"/>
    <w:basedOn w:val="868"/>
    <w:uiPriority w:val="0"/>
    <w:qFormat/>
    <w:pPr>
      <w:ind w:left="961"/>
      <w:spacing w:line="360" w:lineRule="auto"/>
      <w:widowControl/>
    </w:pPr>
    <w:rPr>
      <w:rFonts w:ascii="仿宋_GB2312" w:hAnsi="宋体" w:eastAsia="仿宋_GB2312" w:cs="宋体"/>
      <w:b/>
      <w:bCs/>
      <w:sz w:val="24"/>
      <w:szCs w:val="24"/>
    </w:rPr>
  </w:style>
  <w:style w:type="paragraph" w:styleId="1076" w:customStyle="1">
    <w:name w:val="样式1"/>
    <w:basedOn w:val="870"/>
    <w:uiPriority w:val="0"/>
    <w:qFormat/>
    <w:rPr>
      <w:rFonts w:ascii="Times New Roman" w:hAnsi="Times New Roman"/>
    </w:rPr>
  </w:style>
  <w:style w:type="paragraph" w:styleId="1077" w:customStyle="1">
    <w:name w:val="xl51"/>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78" w:customStyle="1">
    <w:name w:val="xl61"/>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79" w:customStyle="1">
    <w:name w:val="列出段落11"/>
    <w:basedOn w:val="868"/>
    <w:uiPriority w:val="0"/>
    <w:qFormat/>
    <w:pPr>
      <w:ind w:firstLine="420"/>
    </w:pPr>
    <w:rPr>
      <w:rFonts w:ascii="Calibri" w:hAnsi="Calibri" w:eastAsia="宋体"/>
      <w:sz w:val="21"/>
      <w:szCs w:val="22"/>
    </w:rPr>
  </w:style>
  <w:style w:type="paragraph" w:styleId="1080" w:customStyle="1">
    <w:name w:val="纯文本3"/>
    <w:basedOn w:val="868"/>
    <w:uiPriority w:val="0"/>
    <w:qFormat/>
    <w:pPr>
      <w:jc w:val="left"/>
      <w:widowControl/>
    </w:pPr>
    <w:rPr>
      <w:rFonts w:ascii="宋体" w:hAnsi="Courier New" w:eastAsia="宋体"/>
    </w:rPr>
  </w:style>
  <w:style w:type="paragraph" w:styleId="1081" w:customStyle="1">
    <w:name w:val="font6"/>
    <w:basedOn w:val="868"/>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82" w:customStyle="1">
    <w:name w:val="Plain Text1"/>
    <w:basedOn w:val="868"/>
    <w:uiPriority w:val="0"/>
    <w:qFormat/>
    <w:rPr>
      <w:rFonts w:ascii="宋体" w:hAnsi="Courier New" w:eastAsia="宋体"/>
    </w:rPr>
  </w:style>
  <w:style w:type="paragraph" w:styleId="1083" w:customStyle="1">
    <w:name w:val="空半行"/>
    <w:basedOn w:val="868"/>
    <w:uiPriority w:val="0"/>
    <w:qFormat/>
    <w:pPr>
      <w:spacing w:line="120" w:lineRule="exact"/>
    </w:pPr>
    <w:rPr>
      <w:rFonts w:ascii="Calibri" w:hAnsi="Calibri" w:eastAsia="仿宋_GB2312"/>
      <w:color w:val="ffffff"/>
      <w:sz w:val="30"/>
    </w:rPr>
  </w:style>
  <w:style w:type="paragraph" w:styleId="1084" w:customStyle="1">
    <w:name w:val="彩色列表 - 着色 11"/>
    <w:basedOn w:val="868"/>
    <w:uiPriority w:val="0"/>
    <w:qFormat/>
    <w:pPr>
      <w:ind w:firstLine="420"/>
    </w:pPr>
    <w:rPr>
      <w:rFonts w:ascii="宋体" w:hAnsi="宋体" w:eastAsia="宋体"/>
      <w:sz w:val="24"/>
      <w:szCs w:val="24"/>
    </w:rPr>
  </w:style>
  <w:style w:type="paragraph" w:styleId="1085" w:customStyle="1">
    <w:name w:val="xl63"/>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8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87" w:customStyle="1">
    <w:name w:val="正文 New"/>
    <w:uiPriority w:val="0"/>
    <w:qFormat/>
    <w:pPr>
      <w:jc w:val="both"/>
      <w:widowControl w:val="off"/>
    </w:pPr>
    <w:rPr>
      <w:rFonts w:ascii="Calibri" w:hAnsi="Calibri" w:eastAsia="宋体" w:cs="Times New Roman"/>
      <w:sz w:val="21"/>
      <w:szCs w:val="24"/>
      <w:lang w:val="en-US" w:eastAsia="zh-CN" w:bidi="ar-SA"/>
    </w:rPr>
  </w:style>
  <w:style w:type="paragraph" w:styleId="1088" w:customStyle="1">
    <w:name w:val="列出段落3"/>
    <w:basedOn w:val="868"/>
    <w:uiPriority w:val="0"/>
    <w:qFormat/>
    <w:pPr>
      <w:ind w:firstLine="420"/>
    </w:pPr>
    <w:rPr>
      <w:rFonts w:ascii="宋体" w:hAnsi="宋体" w:eastAsia="宋体"/>
      <w:sz w:val="24"/>
      <w:szCs w:val="24"/>
    </w:rPr>
  </w:style>
  <w:style w:type="paragraph" w:styleId="1089" w:customStyle="1">
    <w:name w:val="列出段落[858D7CFB-ED40-4347-BF05-701D383B685F][858D7CFB-ED40-4347-BF05-701D383B685F]"/>
    <w:basedOn w:val="868"/>
    <w:uiPriority w:val="0"/>
    <w:qFormat/>
    <w:pPr>
      <w:ind w:firstLine="420"/>
    </w:pPr>
    <w:rPr>
      <w:rFonts w:ascii="Calibri" w:hAnsi="Calibri" w:eastAsia="宋体"/>
      <w:sz w:val="21"/>
      <w:szCs w:val="22"/>
    </w:rPr>
  </w:style>
  <w:style w:type="paragraph" w:styleId="1090" w:customStyle="1">
    <w:name w:val="xl57"/>
    <w:basedOn w:val="8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1" w:customStyle="1">
    <w:name w:val="xl49"/>
    <w:basedOn w:val="868"/>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92" w:customStyle="1">
    <w:name w:val="彩色底纹 - 着色 11"/>
    <w:uiPriority w:val="0"/>
    <w:qFormat/>
    <w:rPr>
      <w:rFonts w:ascii="Times New Roman" w:hAnsi="Times New Roman" w:eastAsia="楷体_GB2312" w:cs="Times New Roman"/>
      <w:sz w:val="28"/>
      <w:lang w:val="en-US" w:eastAsia="zh-CN" w:bidi="ar-SA"/>
    </w:rPr>
  </w:style>
  <w:style w:type="paragraph" w:styleId="1093" w:customStyle="1">
    <w:name w:val="标题1"/>
    <w:basedOn w:val="868"/>
    <w:next w:val="868"/>
    <w:uiPriority w:val="0"/>
    <w:qFormat/>
    <w:pPr>
      <w:jc w:val="center"/>
      <w:spacing w:before="240" w:after="60"/>
      <w:outlineLvl w:val="0"/>
    </w:pPr>
    <w:rPr>
      <w:rFonts w:ascii="Calibri Light" w:hAnsi="Calibri Light" w:eastAsia="宋体"/>
      <w:b/>
      <w:bCs/>
      <w:sz w:val="32"/>
      <w:szCs w:val="32"/>
    </w:rPr>
  </w:style>
  <w:style w:type="paragraph" w:styleId="1094" w:customStyle="1">
    <w:name w:val="xl48"/>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95" w:customStyle="1">
    <w:name w:val="xl65"/>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6" w:customStyle="1">
    <w:name w:val="p3"/>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097" w:customStyle="1">
    <w:name w:val="xl47"/>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98" w:customStyle="1">
    <w:name w:val="正文文本 31"/>
    <w:basedOn w:val="868"/>
    <w:uiPriority w:val="0"/>
    <w:qFormat/>
    <w:rPr>
      <w:rFonts w:ascii="宋体" w:eastAsia="宋体"/>
      <w:sz w:val="24"/>
    </w:rPr>
  </w:style>
  <w:style w:type="paragraph" w:styleId="1099" w:customStyle="1">
    <w:name w:val="纯文本4"/>
    <w:basedOn w:val="868"/>
    <w:uiPriority w:val="0"/>
    <w:qFormat/>
    <w:pPr>
      <w:jc w:val="left"/>
      <w:widowControl/>
    </w:pPr>
    <w:rPr>
      <w:rFonts w:ascii="宋体" w:hAnsi="Courier New" w:eastAsia="宋体"/>
    </w:rPr>
  </w:style>
  <w:style w:type="paragraph" w:styleId="1100" w:customStyle="1">
    <w:name w:val="首行缩进:  0.74 厘米 行距: 多倍行距 1.3 字行"/>
    <w:basedOn w:val="868"/>
    <w:uiPriority w:val="0"/>
    <w:qFormat/>
    <w:pPr>
      <w:ind w:firstLine="420"/>
      <w:spacing w:line="312" w:lineRule="auto"/>
    </w:pPr>
    <w:rPr>
      <w:rFonts w:ascii="Calibri" w:hAnsi="Calibri" w:eastAsia="宋体" w:cs="宋体"/>
      <w:sz w:val="24"/>
    </w:rPr>
  </w:style>
  <w:style w:type="paragraph" w:styleId="1101" w:customStyle="1">
    <w:name w:val="正文 B"/>
    <w:uiPriority w:val="0"/>
    <w:qFormat/>
    <w:rPr>
      <w:rFonts w:hint="eastAsia" w:ascii="Arial Unicode MS" w:hAnsi="Arial Unicode MS" w:eastAsia="Arial Unicode MS" w:cs="Arial Unicode MS"/>
      <w:color w:val="000000"/>
      <w:sz w:val="24"/>
      <w:szCs w:val="24"/>
      <w:lang w:val="zh-TW" w:eastAsia="zh-TW" w:bidi="ar-SA"/>
    </w:rPr>
  </w:style>
  <w:style w:type="paragraph" w:styleId="1102" w:customStyle="1">
    <w:name w:val="正文 New New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103" w:customStyle="1">
    <w:name w:val="xl53"/>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4" w:customStyle="1">
    <w:name w:val="p2"/>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105" w:customStyle="1">
    <w:name w:val="p7"/>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106" w:customStyle="1">
    <w:name w:val="正文2"/>
    <w:basedOn w:val="868"/>
    <w:uiPriority w:val="0"/>
    <w:qFormat/>
    <w:pPr>
      <w:ind w:firstLine="200"/>
      <w:jc w:val="left"/>
      <w:spacing w:after="160" w:line="360" w:lineRule="auto"/>
      <w:widowControl/>
    </w:pPr>
    <w:rPr>
      <w:rFonts w:ascii="Tahoma" w:hAnsi="Tahoma" w:eastAsia="宋体"/>
      <w:sz w:val="24"/>
      <w:szCs w:val="24"/>
    </w:rPr>
  </w:style>
  <w:style w:type="paragraph" w:styleId="1107" w:customStyle="1">
    <w:name w:val="纯文本21"/>
    <w:basedOn w:val="868"/>
    <w:uiPriority w:val="0"/>
    <w:qFormat/>
    <w:rPr>
      <w:rFonts w:ascii="宋体" w:hAnsi="Courier New" w:eastAsia="宋体"/>
    </w:rPr>
  </w:style>
  <w:style w:type="paragraph" w:styleId="1108" w:customStyle="1">
    <w:name w:val="xl55"/>
    <w:basedOn w:val="86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p1"/>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110" w:customStyle="1">
    <w:name w:val="flNote"/>
    <w:basedOn w:val="868"/>
    <w:uiPriority w:val="0"/>
    <w:qFormat/>
    <w:pPr>
      <w:jc w:val="center"/>
      <w:spacing w:before="320" w:after="160" w:line="360" w:lineRule="atLeast"/>
    </w:pPr>
    <w:rPr>
      <w:rFonts w:ascii="Arial" w:hAnsi="Calibri" w:eastAsia="黑体"/>
      <w:sz w:val="30"/>
    </w:rPr>
  </w:style>
  <w:style w:type="paragraph" w:styleId="1111" w:customStyle="1">
    <w:name w:val="Char Char1 Char Char Char Char Char Char Char"/>
    <w:basedOn w:val="868"/>
    <w:uiPriority w:val="0"/>
    <w:qFormat/>
    <w:rPr>
      <w:rFonts w:eastAsia="宋体"/>
      <w:sz w:val="21"/>
    </w:rPr>
  </w:style>
  <w:style w:type="paragraph" w:styleId="1112" w:customStyle="1">
    <w:name w:val="中等深浅网格 21"/>
    <w:basedOn w:val="868"/>
    <w:uiPriority w:val="0"/>
    <w:qFormat/>
    <w:pPr>
      <w:jc w:val="left"/>
      <w:widowControl/>
    </w:pPr>
    <w:rPr>
      <w:rFonts w:ascii="Calibri" w:hAnsi="Calibri" w:eastAsia="宋体"/>
      <w:sz w:val="24"/>
      <w:szCs w:val="32"/>
      <w:lang w:eastAsia="en-US" w:bidi="en-US"/>
    </w:rPr>
  </w:style>
  <w:style w:type="paragraph" w:styleId="1113" w:customStyle="1">
    <w:name w:val="p4"/>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114" w:customStyle="1">
    <w:name w:val="Char Char Char Char Char Char Char Char Char1 Char"/>
    <w:basedOn w:val="886"/>
    <w:uiPriority w:val="0"/>
    <w:qFormat/>
    <w:pPr>
      <w:spacing w:line="360" w:lineRule="auto"/>
    </w:pPr>
    <w:rPr>
      <w:rFonts w:ascii="Times New Roman" w:hAnsi="Times New Roman" w:eastAsia="楷体_GB2312"/>
      <w:sz w:val="28"/>
      <w:szCs w:val="20"/>
    </w:rPr>
  </w:style>
  <w:style w:type="paragraph" w:styleId="1115" w:customStyle="1">
    <w:name w:val="font5"/>
    <w:basedOn w:val="868"/>
    <w:uiPriority w:val="0"/>
    <w:qFormat/>
    <w:pPr>
      <w:jc w:val="left"/>
      <w:spacing w:before="100" w:beforeAutospacing="1" w:after="100" w:afterAutospacing="1"/>
      <w:widowControl/>
    </w:pPr>
    <w:rPr>
      <w:rFonts w:hint="eastAsia" w:ascii="宋体" w:hAnsi="宋体" w:eastAsia="宋体"/>
      <w:sz w:val="18"/>
      <w:szCs w:val="18"/>
    </w:rPr>
  </w:style>
  <w:style w:type="paragraph" w:styleId="1116" w:customStyle="1">
    <w:name w:val="xl46"/>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7" w:customStyle="1">
    <w:name w:val="纯文本11"/>
    <w:basedOn w:val="868"/>
    <w:uiPriority w:val="0"/>
    <w:qFormat/>
    <w:pPr>
      <w:jc w:val="left"/>
      <w:widowControl/>
    </w:pPr>
    <w:rPr>
      <w:rFonts w:ascii="宋体" w:hAnsi="Courier New" w:eastAsia="宋体"/>
    </w:rPr>
  </w:style>
  <w:style w:type="paragraph" w:styleId="1118" w:customStyle="1">
    <w:name w:val="1 Char Char Char Char"/>
    <w:basedOn w:val="868"/>
    <w:uiPriority w:val="0"/>
    <w:qFormat/>
    <w:rPr>
      <w:rFonts w:ascii="Tahoma" w:hAnsi="Tahoma" w:eastAsia="宋体"/>
      <w:sz w:val="24"/>
    </w:rPr>
  </w:style>
  <w:style w:type="paragraph" w:styleId="1119" w:customStyle="1">
    <w:name w:val="样式 标题 2 + Times New Roman 四号 非加粗 段前: 5 磅 段后: 0 磅 行距: 固定值 20..."/>
    <w:basedOn w:val="870"/>
    <w:uiPriority w:val="0"/>
    <w:qFormat/>
    <w:pPr>
      <w:spacing w:before="100" w:after="0" w:line="400" w:lineRule="exact"/>
    </w:pPr>
    <w:rPr>
      <w:rFonts w:ascii="Times New Roman" w:hAnsi="Times New Roman" w:eastAsia="黑体" w:cs="宋体"/>
      <w:b w:val="0"/>
      <w:bCs w:val="0"/>
      <w:sz w:val="28"/>
      <w:szCs w:val="20"/>
    </w:rPr>
  </w:style>
  <w:style w:type="paragraph" w:styleId="1120" w:customStyle="1">
    <w:name w:val="Char Char Char Char"/>
    <w:basedOn w:val="886"/>
    <w:uiPriority w:val="0"/>
    <w:qFormat/>
    <w:pPr>
      <w:spacing w:line="360" w:lineRule="auto"/>
    </w:pPr>
    <w:rPr>
      <w:rFonts w:ascii="Tahoma" w:hAnsi="Tahoma"/>
    </w:rPr>
  </w:style>
  <w:style w:type="paragraph" w:styleId="1121" w:customStyle="1">
    <w:name w:val="xl60"/>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2" w:customStyle="1">
    <w:name w:val="xl56"/>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3" w:customStyle="1">
    <w:name w:val="Char Char Char Char Char Char Char Char"/>
    <w:basedOn w:val="868"/>
    <w:uiPriority w:val="0"/>
    <w:qFormat/>
    <w:rPr>
      <w:rFonts w:eastAsia="宋体"/>
      <w:sz w:val="21"/>
      <w:szCs w:val="24"/>
    </w:rPr>
  </w:style>
  <w:style w:type="paragraph" w:styleId="1124" w:customStyle="1">
    <w:name w:val="lp1"/>
    <w:basedOn w:val="868"/>
    <w:next w:val="1084"/>
    <w:uiPriority w:val="0"/>
    <w:qFormat/>
    <w:pPr>
      <w:ind w:firstLine="200"/>
      <w:jc w:val="left"/>
      <w:spacing w:line="360" w:lineRule="auto"/>
    </w:pPr>
    <w:rPr>
      <w:rFonts w:ascii="黑体" w:hAnsi="黑体" w:eastAsia="宋体"/>
      <w:bCs/>
      <w:color w:val="000000"/>
      <w:sz w:val="30"/>
      <w:szCs w:val="28"/>
    </w:rPr>
  </w:style>
  <w:style w:type="paragraph" w:styleId="1125" w:customStyle="1">
    <w:name w:val="Char1"/>
    <w:basedOn w:val="868"/>
    <w:uiPriority w:val="0"/>
    <w:qFormat/>
    <w:pPr>
      <w:ind w:left="-62" w:right="36"/>
      <w:jc w:val="left"/>
      <w:spacing w:after="160" w:line="240" w:lineRule="exact"/>
      <w:widowControl/>
    </w:pPr>
    <w:rPr>
      <w:rFonts w:ascii="Arial" w:hAnsi="Arial" w:eastAsia="Times New Roman"/>
      <w:sz w:val="20"/>
      <w:lang w:eastAsia="en-US"/>
    </w:rPr>
  </w:style>
  <w:style w:type="paragraph" w:styleId="1126" w:customStyle="1">
    <w:name w:val="xl45"/>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7" w:customStyle="1">
    <w:name w:val="_Style 29"/>
    <w:basedOn w:val="886"/>
    <w:uiPriority w:val="0"/>
    <w:qFormat/>
    <w:pPr>
      <w:spacing w:line="360" w:lineRule="auto"/>
    </w:pPr>
    <w:rPr>
      <w:rFonts w:ascii="Tahoma" w:hAnsi="Tahoma"/>
    </w:rPr>
  </w:style>
  <w:style w:type="paragraph" w:styleId="1128" w:customStyle="1">
    <w:name w:val="HTML 预设格式1"/>
    <w:basedOn w:val="8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129" w:customStyle="1">
    <w:name w:val="!标题4 Ctrl+4"/>
    <w:basedOn w:val="868"/>
    <w:next w:val="868"/>
    <w:uiPriority w:val="0"/>
    <w:qFormat/>
    <w:pPr>
      <w:numPr>
        <w:ilvl w:val="3"/>
        <w:numId w:val="5"/>
      </w:numPr>
      <w:ind w:firstLine="200"/>
      <w:spacing w:before="156" w:after="156" w:line="300" w:lineRule="auto"/>
      <w:tabs>
        <w:tab w:val="left" w:pos="851" w:leader="none"/>
      </w:tabs>
      <w:outlineLvl w:val="3"/>
    </w:pPr>
    <w:rPr>
      <w:rFonts w:ascii="Arial" w:hAnsi="Arial" w:eastAsia="黑体"/>
      <w:b/>
      <w:sz w:val="30"/>
      <w:szCs w:val="30"/>
    </w:rPr>
  </w:style>
  <w:style w:type="paragraph" w:styleId="1130" w:customStyle="1">
    <w:name w:val="!标题1 Ctrl+1"/>
    <w:basedOn w:val="869"/>
    <w:next w:val="868"/>
    <w:uiPriority w:val="0"/>
    <w:qFormat/>
    <w:pPr>
      <w:numPr>
        <w:ilvl w:val="0"/>
        <w:numId w:val="5"/>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1131" w:customStyle="1">
    <w:name w:val="!标题6 Ctrl+6"/>
    <w:basedOn w:val="868"/>
    <w:next w:val="868"/>
    <w:uiPriority w:val="0"/>
    <w:qFormat/>
    <w:pPr>
      <w:numPr>
        <w:ilvl w:val="5"/>
        <w:numId w:val="5"/>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1132" w:customStyle="1">
    <w:name w:val="!标题5 Ctrl+5"/>
    <w:basedOn w:val="868"/>
    <w:next w:val="868"/>
    <w:uiPriority w:val="0"/>
    <w:qFormat/>
    <w:pPr>
      <w:numPr>
        <w:ilvl w:val="4"/>
        <w:numId w:val="5"/>
      </w:numPr>
      <w:ind w:firstLine="200"/>
      <w:spacing w:before="234" w:after="156" w:line="300" w:lineRule="auto"/>
      <w:tabs>
        <w:tab w:val="left" w:pos="992" w:leader="none"/>
      </w:tabs>
      <w:outlineLvl w:val="4"/>
    </w:pPr>
    <w:rPr>
      <w:rFonts w:ascii="Arial" w:hAnsi="Arial" w:eastAsia="黑体"/>
      <w:b/>
      <w:sz w:val="28"/>
      <w:szCs w:val="28"/>
    </w:rPr>
  </w:style>
  <w:style w:type="table" w:styleId="1133" w:customStyle="1">
    <w:name w:val="网格表 5 深色1"/>
    <w:basedOn w:val="879"/>
    <w:uiPriority w:val="0"/>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4" w:customStyle="1">
    <w:name w:val="网格型1"/>
    <w:basedOn w:val="879"/>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35" w:customStyle="1">
    <w:name w:val="网格表 3 - 着色 11"/>
    <w:basedOn w:val="879"/>
    <w:uiPriority w:val="0"/>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36" w:customStyle="1">
    <w:name w:val="彩色列表 - 着色 12"/>
    <w:basedOn w:val="868"/>
    <w:uiPriority w:val="34"/>
    <w:qFormat/>
    <w:pPr>
      <w:jc w:val="left"/>
      <w:spacing w:before="100" w:beforeAutospacing="1" w:after="100" w:afterAutospacing="1"/>
      <w:widowControl/>
    </w:pPr>
    <w:rPr>
      <w:rFonts w:ascii="宋体" w:hAnsi="宋体" w:eastAsia="宋体" w:cs="宋体"/>
      <w:sz w:val="24"/>
      <w:szCs w:val="24"/>
    </w:rPr>
  </w:style>
  <w:style w:type="paragraph" w:styleId="1137" w:customStyle="1">
    <w:name w:val="Char1 Char Char Char Char Char1 Char Char Char Char"/>
    <w:basedOn w:val="868"/>
    <w:uiPriority w:val="0"/>
    <w:qFormat/>
    <w:pPr>
      <w:ind w:left="450" w:firstLine="200"/>
      <w:spacing w:line="300" w:lineRule="auto"/>
      <w:tabs>
        <w:tab w:val="left" w:pos="425" w:leader="none"/>
      </w:tabs>
    </w:pPr>
    <w:rPr>
      <w:rFonts w:ascii="ˎ̥" w:hAnsi="ˎ̥" w:eastAsia="宋体"/>
      <w:sz w:val="24"/>
      <w:szCs w:val="28"/>
    </w:rPr>
  </w:style>
  <w:style w:type="paragraph" w:styleId="1138" w:customStyle="1">
    <w:name w:val="节标题"/>
    <w:basedOn w:val="868"/>
    <w:next w:val="880"/>
    <w:uiPriority w:val="0"/>
    <w:qFormat/>
    <w:pPr>
      <w:ind w:left="170" w:hanging="170"/>
      <w:spacing w:before="120" w:after="120" w:line="360" w:lineRule="exact"/>
      <w:tabs>
        <w:tab w:val="left" w:pos="420" w:leader="none"/>
      </w:tabs>
      <w:outlineLvl w:val="1"/>
    </w:pPr>
    <w:rPr>
      <w:rFonts w:eastAsia="宋体"/>
      <w:b/>
      <w:bCs/>
      <w:sz w:val="28"/>
    </w:rPr>
  </w:style>
  <w:style w:type="paragraph" w:styleId="1139" w:customStyle="1">
    <w:name w:val="分标题"/>
    <w:basedOn w:val="868"/>
    <w:next w:val="880"/>
    <w:uiPriority w:val="0"/>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1140" w:customStyle="1">
    <w:name w:val="分层标题"/>
    <w:basedOn w:val="868"/>
    <w:next w:val="880"/>
    <w:uiPriority w:val="0"/>
    <w:qFormat/>
    <w:pPr>
      <w:ind w:left="1260" w:hanging="420"/>
      <w:spacing w:before="120" w:after="120" w:line="360" w:lineRule="exact"/>
      <w:tabs>
        <w:tab w:val="left" w:pos="1080" w:leader="none"/>
      </w:tabs>
      <w:outlineLvl w:val="4"/>
    </w:pPr>
    <w:rPr>
      <w:rFonts w:eastAsia="宋体"/>
      <w:b/>
      <w:sz w:val="24"/>
      <w:szCs w:val="24"/>
    </w:rPr>
  </w:style>
  <w:style w:type="character" w:styleId="1141" w:customStyle="1">
    <w:name w:val="fontstyle01"/>
    <w:uiPriority w:val="0"/>
    <w:qFormat/>
    <w:rPr>
      <w:rFonts w:hint="eastAsia" w:ascii="宋体" w:hAnsi="宋体" w:eastAsia="宋体"/>
      <w:color w:val="000000"/>
      <w:sz w:val="36"/>
      <w:szCs w:val="36"/>
    </w:rPr>
  </w:style>
  <w:style w:type="character" w:styleId="1142" w:customStyle="1">
    <w:name w:val="fontstyle21"/>
    <w:uiPriority w:val="0"/>
    <w:qFormat/>
    <w:rPr>
      <w:rFonts w:hint="default" w:ascii="仿宋" w:hAnsi="仿宋"/>
      <w:color w:val="000000"/>
      <w:sz w:val="32"/>
      <w:szCs w:val="32"/>
    </w:rPr>
  </w:style>
  <w:style w:type="character" w:styleId="1143" w:customStyle="1">
    <w:name w:val="fontstyle31"/>
    <w:uiPriority w:val="0"/>
    <w:qFormat/>
    <w:rPr>
      <w:rFonts w:hint="default" w:ascii="TimesNewRomanPSMT" w:hAnsi="TimesNewRomanPSMT"/>
      <w:color w:val="000000"/>
      <w:sz w:val="12"/>
      <w:szCs w:val="12"/>
    </w:rPr>
  </w:style>
  <w:style w:type="paragraph" w:styleId="1144" w:customStyle="1">
    <w:name w:val="彩色列表 - 强调文字颜色 11"/>
    <w:basedOn w:val="868"/>
    <w:uiPriority w:val="34"/>
    <w:qFormat/>
    <w:pPr>
      <w:jc w:val="left"/>
      <w:spacing w:before="100" w:beforeAutospacing="1" w:after="100" w:afterAutospacing="1"/>
      <w:widowControl/>
    </w:pPr>
    <w:rPr>
      <w:rFonts w:ascii="宋体" w:hAnsi="宋体" w:eastAsia="宋体" w:cs="宋体"/>
      <w:sz w:val="24"/>
      <w:szCs w:val="24"/>
    </w:rPr>
  </w:style>
  <w:style w:type="paragraph" w:styleId="1145" w:customStyle="1">
    <w:name w:val="网格表 32"/>
    <w:basedOn w:val="869"/>
    <w:next w:val="868"/>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1146" w:customStyle="1">
    <w:name w:val="_Style 2"/>
    <w:basedOn w:val="868"/>
    <w:uiPriority w:val="34"/>
    <w:qFormat/>
    <w:pPr>
      <w:ind w:firstLine="420"/>
    </w:pPr>
    <w:rPr>
      <w:rFonts w:ascii="Calibri" w:hAnsi="Calibri" w:cs="宋体"/>
      <w:szCs w:val="22"/>
    </w:rPr>
  </w:style>
  <w:style w:type="paragraph" w:styleId="1147" w:customStyle="1">
    <w:name w:val="正文1"/>
    <w:basedOn w:val="868"/>
    <w:next w:val="868"/>
    <w:uiPriority w:val="0"/>
    <w:qFormat/>
    <w:pPr>
      <w:ind w:left="420" w:firstLine="527"/>
      <w:spacing w:before="120" w:line="360" w:lineRule="auto"/>
    </w:pPr>
    <w:rPr>
      <w:rFonts w:ascii="宋体" w:hAnsi="宋体" w:cs="宋体"/>
      <w:szCs w:val="22"/>
    </w:rPr>
  </w:style>
  <w:style w:type="paragraph" w:styleId="1148">
    <w:name w:val="List Paragraph"/>
    <w:basedOn w:val="868"/>
    <w:uiPriority w:val="99"/>
    <w:qFormat/>
    <w:pPr>
      <w:ind w:firstLine="420"/>
    </w:pPr>
  </w:style>
  <w:style w:type="paragraph" w:styleId="1149" w:customStyle="1">
    <w:name w:val="font7"/>
    <w:basedOn w:val="868"/>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1150" w:customStyle="1">
    <w:name w:val="xl67"/>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1" w:customStyle="1">
    <w:name w:val="xl68"/>
    <w:basedOn w:val="8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152" w:customStyle="1">
    <w:name w:val="xl69"/>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53" w:customStyle="1">
    <w:name w:val="xl70"/>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1154" w:customStyle="1">
    <w:name w:val="正文首行缩进 2 Char"/>
    <w:basedOn w:val="1023"/>
    <w:link w:val="927"/>
    <w:uiPriority w:val="99"/>
    <w:qFormat/>
    <w:rPr>
      <w:rFonts w:ascii="宋体" w:hAnsi="Times New Roman" w:eastAsia="楷体_GB2312" w:cs="Times New Roman"/>
      <w:sz w:val="26"/>
    </w:rPr>
  </w:style>
  <w:style w:type="paragraph" w:styleId="1155" w:customStyle="1">
    <w:name w:val="首行缩进"/>
    <w:basedOn w:val="868"/>
    <w:uiPriority w:val="0"/>
    <w:qFormat/>
    <w:pPr>
      <w:ind w:firstLine="480"/>
      <w:jc w:val="left"/>
      <w:spacing w:line="360" w:lineRule="auto"/>
    </w:pPr>
    <w:rPr>
      <w:rFonts w:ascii="宋体" w:hAnsi="宋体" w:eastAsia="宋体"/>
      <w:sz w:val="24"/>
    </w:rPr>
  </w:style>
  <w:style w:type="paragraph" w:styleId="1156" w:customStyle="1">
    <w:name w:val="Char1 Char Char Char Char Char Char"/>
    <w:basedOn w:val="868"/>
    <w:uiPriority w:val="0"/>
    <w:qFormat/>
    <w:pPr>
      <w:ind w:firstLine="480"/>
      <w:spacing w:line="300" w:lineRule="auto"/>
    </w:pPr>
    <w:rPr>
      <w:rFonts w:ascii="Tahoma" w:hAnsi="Tahoma" w:eastAsia="宋体"/>
      <w:sz w:val="24"/>
    </w:rPr>
  </w:style>
  <w:style w:type="paragraph" w:styleId="1157" w:customStyle="1">
    <w:name w:val="修订1"/>
    <w:hidden/>
    <w:uiPriority w:val="99"/>
    <w:semiHidden/>
    <w:qFormat/>
    <w:rPr>
      <w:rFonts w:ascii="Times New Roman" w:hAnsi="Times New Roman" w:eastAsia="楷体_GB2312" w:cs="Times New Roman"/>
      <w:sz w:val="26"/>
      <w:lang w:val="en-US" w:eastAsia="zh-CN" w:bidi="ar-SA"/>
    </w:rPr>
  </w:style>
  <w:style w:type="character" w:styleId="1158" w:customStyle="1">
    <w:name w:val="custom-tag-placeholder-class"/>
    <w:basedOn w:val="878"/>
    <w:uiPriority w:val="0"/>
    <w:qFormat/>
  </w:style>
  <w:style w:type="character" w:styleId="1159" w:customStyle="1">
    <w:name w:val="15"/>
    <w:basedOn w:val="878"/>
    <w:uiPriority w:val="0"/>
    <w:qFormat/>
    <w:rPr>
      <w:rFonts w:hint="eastAsia" w:ascii="宋体" w:hAnsi="宋体" w:eastAsia="宋体"/>
      <w:color w:val="000000"/>
      <w:sz w:val="16"/>
      <w:szCs w:val="16"/>
    </w:rPr>
  </w:style>
  <w:style w:type="paragraph" w:styleId="1160" w:customStyle="1">
    <w:name w:val="font0"/>
    <w:basedOn w:val="868"/>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161" w:customStyle="1">
    <w:name w:val="font1"/>
    <w:basedOn w:val="868"/>
    <w:uiPriority w:val="0"/>
    <w:qFormat/>
    <w:pPr>
      <w:jc w:val="left"/>
      <w:spacing w:before="100" w:beforeAutospacing="1" w:after="100" w:afterAutospacing="1"/>
      <w:widowControl/>
    </w:pPr>
    <w:rPr>
      <w:rFonts w:ascii="宋体" w:hAnsi="宋体" w:eastAsia="宋体" w:cs="宋体"/>
      <w:color w:val="000000"/>
      <w:sz w:val="20"/>
    </w:rPr>
  </w:style>
  <w:style w:type="paragraph" w:styleId="1162" w:customStyle="1">
    <w:name w:val="font2"/>
    <w:basedOn w:val="868"/>
    <w:uiPriority w:val="0"/>
    <w:qFormat/>
    <w:pPr>
      <w:jc w:val="left"/>
      <w:spacing w:before="100" w:beforeAutospacing="1" w:after="100" w:afterAutospacing="1"/>
      <w:widowControl/>
    </w:pPr>
    <w:rPr>
      <w:rFonts w:ascii="宋体" w:hAnsi="宋体" w:eastAsia="宋体" w:cs="宋体"/>
      <w:color w:val="000000"/>
      <w:sz w:val="20"/>
    </w:rPr>
  </w:style>
  <w:style w:type="paragraph" w:styleId="1163" w:customStyle="1">
    <w:name w:val="font3"/>
    <w:basedOn w:val="868"/>
    <w:uiPriority w:val="0"/>
    <w:qFormat/>
    <w:pPr>
      <w:jc w:val="left"/>
      <w:spacing w:before="100" w:beforeAutospacing="1" w:after="100" w:afterAutospacing="1"/>
      <w:widowControl/>
    </w:pPr>
    <w:rPr>
      <w:rFonts w:ascii="宋体" w:hAnsi="宋体" w:eastAsia="宋体" w:cs="宋体"/>
      <w:color w:val="000000"/>
      <w:sz w:val="20"/>
    </w:rPr>
  </w:style>
  <w:style w:type="paragraph" w:styleId="1164" w:customStyle="1">
    <w:name w:val="et2"/>
    <w:basedOn w:val="868"/>
    <w:uiPriority w:val="0"/>
    <w:qFormat/>
    <w:pPr>
      <w:jc w:val="center"/>
      <w:spacing w:before="100" w:beforeAutospacing="1" w:after="100" w:afterAutospacing="1"/>
      <w:widowControl/>
    </w:pPr>
    <w:rPr>
      <w:rFonts w:ascii="宋体" w:hAnsi="宋体" w:eastAsia="宋体" w:cs="宋体"/>
      <w:sz w:val="24"/>
      <w:szCs w:val="24"/>
    </w:rPr>
  </w:style>
  <w:style w:type="paragraph" w:styleId="1165" w:customStyle="1">
    <w:name w:val="et3"/>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66" w:customStyle="1">
    <w:name w:val="et4"/>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7" w:customStyle="1">
    <w:name w:val="et5"/>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68" w:customStyle="1">
    <w:name w:val="et6"/>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9" w:customStyle="1">
    <w:name w:val="et7"/>
    <w:basedOn w:val="8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70" w:customStyle="1">
    <w:name w:val="et8"/>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1" w:customStyle="1">
    <w:name w:val="et9"/>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1C331-FC3F-4D89-A18F-3BA933137EAF}"/>
</file>

<file path=customXml/itemProps2.xml><?xml version="1.0" encoding="utf-8"?>
<ds:datastoreItem xmlns:ds="http://schemas.openxmlformats.org/officeDocument/2006/customXml" ds:itemID="{65620E91-AA08-4955-AED1-0851170E36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lhb</dc:creator>
  <cp:lastModifiedBy>卢海波</cp:lastModifiedBy>
  <cp:revision>17</cp:revision>
  <dcterms:created xsi:type="dcterms:W3CDTF">2026-01-12T00:16:00Z</dcterms:created>
  <dcterms:modified xsi:type="dcterms:W3CDTF">2026-01-12T05:50:54Z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229FD11EC41A4ED89B0EDCBDF7E57EE9_13</vt:lpwstr>
  </property>
  <property fmtid="{D5CDD505-2E9C-101B-9397-08002B2CF9AE}" pid="4" name="KSOTemplateDocerSaveRecord">
    <vt:lpwstr>eyJoZGlkIjoiMDM3ZjZhMzYyMjAyZGNiZjM4MWI4MjYxN2NkYzU1YzMiLCJ1c2VySWQiOiI5MDQxMDcwODMifQ==</vt:lpwstr>
  </property>
</Properties>
</file>